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方正隶书简体" w:eastAsia="方正隶书简体"/>
          <w:color w:val="000000"/>
          <w:spacing w:val="6"/>
        </w:rPr>
      </w:pPr>
      <w:r>
        <w:rPr>
          <w:color w:val="000000"/>
        </w:rPr>
        <mc:AlternateContent>
          <mc:Choice Requires="wps">
            <w:drawing>
              <wp:anchor distT="0" distB="0" distL="0" distR="0" simplePos="0" relativeHeight="251659264" behindDoc="0" locked="0" layoutInCell="1" allowOverlap="1">
                <wp:simplePos x="0" y="0"/>
                <wp:positionH relativeFrom="column">
                  <wp:posOffset>-9525</wp:posOffset>
                </wp:positionH>
                <wp:positionV relativeFrom="paragraph">
                  <wp:posOffset>57150</wp:posOffset>
                </wp:positionV>
                <wp:extent cx="5276850" cy="1302385"/>
                <wp:effectExtent l="0" t="0" r="0" b="12065"/>
                <wp:wrapNone/>
                <wp:docPr id="1026" name="文本框 3"/>
                <wp:cNvGraphicFramePr/>
                <a:graphic xmlns:a="http://schemas.openxmlformats.org/drawingml/2006/main">
                  <a:graphicData uri="http://schemas.microsoft.com/office/word/2010/wordprocessingShape">
                    <wps:wsp>
                      <wps:cNvSpPr/>
                      <wps:spPr>
                        <a:xfrm>
                          <a:off x="0" y="0"/>
                          <a:ext cx="5276850" cy="1302385"/>
                        </a:xfrm>
                        <a:prstGeom prst="rect">
                          <a:avLst/>
                        </a:prstGeom>
                        <a:solidFill>
                          <a:srgbClr val="FFFFFF"/>
                        </a:solidFill>
                        <a:ln>
                          <a:noFill/>
                        </a:ln>
                      </wps:spPr>
                      <wps:txbx>
                        <w:txbxContent>
                          <w:p>
                            <w:pPr>
                              <w:spacing w:line="2000" w:lineRule="exact"/>
                              <w:jc w:val="center"/>
                              <w:rPr>
                                <w:rFonts w:ascii="方正大黑_GBK" w:hAnsi="黑体" w:eastAsia="方正大黑_GBK"/>
                                <w:color w:val="CC0000"/>
                                <w:sz w:val="110"/>
                                <w:szCs w:val="110"/>
                              </w:rPr>
                            </w:pPr>
                            <w:r>
                              <w:rPr>
                                <w:rFonts w:hint="eastAsia" w:ascii="方正大黑_GBK" w:hAnsi="黑体" w:eastAsia="方正大黑_GBK"/>
                                <w:color w:val="CC0000"/>
                                <w:sz w:val="90"/>
                                <w:szCs w:val="90"/>
                              </w:rPr>
                              <w:t>互联网信息摘报</w:t>
                            </w:r>
                          </w:p>
                        </w:txbxContent>
                      </wps:txbx>
                      <wps:bodyPr vert="horz" wrap="square" lIns="91440" tIns="45720" rIns="91440" bIns="45720" anchor="t" upright="1">
                        <a:noAutofit/>
                      </wps:bodyPr>
                    </wps:wsp>
                  </a:graphicData>
                </a:graphic>
              </wp:anchor>
            </w:drawing>
          </mc:Choice>
          <mc:Fallback>
            <w:pict>
              <v:rect id="文本框 3" o:spid="_x0000_s1026" o:spt="1" style="position:absolute;left:0pt;margin-left:-0.75pt;margin-top:4.5pt;height:102.55pt;width:415.5pt;z-index:251659264;mso-width-relative:page;mso-height-relative:page;" fillcolor="#FFFFFF" filled="t" stroked="f" coordsize="21600,21600" o:gfxdata="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PqlVP1gAAAAgBAAAPAAAA&#10;AAAAAAEAIAAAACIAAABkcnMvZG93bnJldi54bWxQSwECFAAUAAAACACHTuJA+l1fA94BAACWAwAA&#10;DgAAAAAAAAABACAAAAAlAQAAZHJzL2Uyb0RvYy54bWxQSwUGAAAAAAYABgBZAQAAdQUAAAAA&#10;">
                <v:fill on="t" focussize="0,0"/>
                <v:stroke on="f"/>
                <v:imagedata o:title=""/>
                <o:lock v:ext="edit" aspectratio="f"/>
                <v:textbox>
                  <w:txbxContent>
                    <w:p>
                      <w:pPr>
                        <w:spacing w:line="2000" w:lineRule="exact"/>
                        <w:jc w:val="center"/>
                        <w:rPr>
                          <w:rFonts w:ascii="方正大黑_GBK" w:hAnsi="黑体" w:eastAsia="方正大黑_GBK"/>
                          <w:color w:val="CC0000"/>
                          <w:sz w:val="110"/>
                          <w:szCs w:val="110"/>
                        </w:rPr>
                      </w:pPr>
                      <w:r>
                        <w:rPr>
                          <w:rFonts w:hint="eastAsia" w:ascii="方正大黑_GBK" w:hAnsi="黑体" w:eastAsia="方正大黑_GBK"/>
                          <w:color w:val="CC0000"/>
                          <w:sz w:val="90"/>
                          <w:szCs w:val="90"/>
                        </w:rPr>
                        <w:t>互联网信息摘报</w:t>
                      </w:r>
                    </w:p>
                  </w:txbxContent>
                </v:textbox>
              </v:rect>
            </w:pict>
          </mc:Fallback>
        </mc:AlternateContent>
      </w:r>
      <w:r>
        <w:rPr>
          <w:rFonts w:hint="eastAsia" w:ascii="微软雅黑" w:hAnsi="微软雅黑" w:eastAsia="微软雅黑"/>
          <w:color w:val="000000"/>
        </w:rPr>
        <w:t xml:space="preserve"> </w:t>
      </w:r>
      <w:r>
        <w:rPr>
          <w:rFonts w:hint="eastAsia" w:ascii="微软雅黑" w:hAnsi="微软雅黑" w:eastAsia="微软雅黑"/>
          <w:color w:val="000000"/>
        </w:rPr>
        <w:tab/>
      </w:r>
      <w:r>
        <w:rPr>
          <w:rFonts w:hint="eastAsia" w:ascii="微软雅黑" w:hAnsi="微软雅黑" w:eastAsia="微软雅黑"/>
          <w:color w:val="000000"/>
        </w:rPr>
        <w:t>　</w:t>
      </w:r>
      <w:r>
        <w:rPr>
          <w:color w:val="000000"/>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-234950</wp:posOffset>
                </wp:positionV>
                <wp:extent cx="4032250" cy="740410"/>
                <wp:effectExtent l="0" t="0" r="6350" b="2540"/>
                <wp:wrapNone/>
                <wp:docPr id="1027" name="文本框 2"/>
                <wp:cNvGraphicFramePr/>
                <a:graphic xmlns:a="http://schemas.openxmlformats.org/drawingml/2006/main">
                  <a:graphicData uri="http://schemas.microsoft.com/office/word/2010/wordprocessingShape">
                    <wps:wsp>
                      <wps:cNvSpPr/>
                      <wps:spPr>
                        <a:xfrm>
                          <a:off x="0" y="0"/>
                          <a:ext cx="4032250" cy="740410"/>
                        </a:xfrm>
                        <a:prstGeom prst="rect">
                          <a:avLst/>
                        </a:prstGeom>
                        <a:solidFill>
                          <a:srgbClr val="FFFFFF"/>
                        </a:solidFill>
                        <a:ln>
                          <a:noFill/>
                        </a:ln>
                      </wps:spPr>
                      <wps:txbx>
                        <w:txbxContent>
                          <w:p>
                            <w:pPr>
                              <w:spacing w:line="1000" w:lineRule="exact"/>
                              <w:jc w:val="center"/>
                              <w:rPr>
                                <w:rFonts w:ascii="方正小标宋简体" w:eastAsia="方正小标宋简体"/>
                                <w:sz w:val="60"/>
                                <w:szCs w:val="60"/>
                              </w:rPr>
                            </w:pPr>
                          </w:p>
                        </w:txbxContent>
                      </wps:txbx>
                      <wps:bodyPr vert="horz" wrap="square" lIns="91440" tIns="45720" rIns="91440" bIns="45720" anchor="t" upright="1">
                        <a:noAutofit/>
                      </wps:bodyPr>
                    </wps:wsp>
                  </a:graphicData>
                </a:graphic>
              </wp:anchor>
            </w:drawing>
          </mc:Choice>
          <mc:Fallback>
            <w:pict>
              <v:rect id="文本框 2" o:spid="_x0000_s1026" o:spt="1" style="position:absolute;left:0pt;margin-top:-18.5pt;height:58.3pt;width:317.5pt;mso-position-horizontal:center;mso-position-horizontal-relative:margin;z-index:251660288;mso-width-relative:page;mso-height-relative:page;" fillcolor="#FFFFFF" filled="t" stroked="f" coordsize="21600,21600" o:gfxdata="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0/7MDVAAAABwEAAA8AAAAA&#10;AAAAAQAgAAAAIgAAAGRycy9kb3ducmV2LnhtbFBLAQIUABQAAAAIAIdO4kBT/FyL3gEAAJUDAAAO&#10;AAAAAAAAAAEAIAAAACQBAABkcnMvZTJvRG9jLnhtbFBLBQYAAAAABgAGAFkBAAB0BQAAAAA=&#10;">
                <v:fill on="t" focussize="0,0"/>
                <v:stroke on="f"/>
                <v:imagedata o:title=""/>
                <o:lock v:ext="edit" aspectratio="f"/>
                <v:textbox>
                  <w:txbxContent>
                    <w:p>
                      <w:pPr>
                        <w:spacing w:line="1000" w:lineRule="exact"/>
                        <w:jc w:val="center"/>
                        <w:rPr>
                          <w:rFonts w:ascii="方正小标宋简体" w:eastAsia="方正小标宋简体"/>
                          <w:sz w:val="60"/>
                          <w:szCs w:val="60"/>
                        </w:rPr>
                      </w:pPr>
                    </w:p>
                  </w:txbxContent>
                </v:textbox>
              </v:rect>
            </w:pict>
          </mc:Fallback>
        </mc:AlternateContent>
      </w:r>
    </w:p>
    <w:p>
      <w:pPr>
        <w:adjustRightInd w:val="0"/>
        <w:spacing w:line="586" w:lineRule="atLeast"/>
        <w:rPr>
          <w:rFonts w:ascii="Times New Roman" w:eastAsia="楷体_GB2312"/>
          <w:color w:val="000000"/>
          <w:spacing w:val="6"/>
        </w:rPr>
      </w:pPr>
    </w:p>
    <w:p>
      <w:pPr>
        <w:adjustRightInd w:val="0"/>
        <w:spacing w:line="586" w:lineRule="atLeast"/>
        <w:rPr>
          <w:rFonts w:eastAsia="楷体_GB2312"/>
          <w:color w:val="000000"/>
          <w:spacing w:val="6"/>
        </w:rPr>
      </w:pPr>
    </w:p>
    <w:p>
      <w:pPr>
        <w:adjustRightInd w:val="0"/>
        <w:spacing w:line="586" w:lineRule="atLeast"/>
        <w:rPr>
          <w:rFonts w:eastAsia="楷体_GB2312"/>
          <w:color w:val="000000"/>
          <w:spacing w:val="6"/>
          <w:sz w:val="30"/>
          <w:szCs w:val="30"/>
        </w:rPr>
      </w:pPr>
    </w:p>
    <w:p>
      <w:pPr>
        <w:adjustRightInd w:val="0"/>
        <w:jc w:val="center"/>
        <w:rPr>
          <w:rFonts w:ascii="方正楷体简体" w:eastAsia="方正楷体简体"/>
          <w:color w:val="000000"/>
          <w:spacing w:val="6"/>
          <w:sz w:val="30"/>
          <w:szCs w:val="30"/>
        </w:rPr>
      </w:pPr>
      <w:r>
        <w:rPr>
          <w:rFonts w:hint="eastAsia" w:ascii="方正楷体简体" w:eastAsia="方正楷体简体"/>
          <w:color w:val="000000"/>
          <w:spacing w:val="6"/>
          <w:sz w:val="30"/>
          <w:szCs w:val="30"/>
        </w:rPr>
        <w:t>第104期</w:t>
      </w:r>
    </w:p>
    <w:p>
      <w:pPr>
        <w:adjustRightInd w:val="0"/>
        <w:jc w:val="center"/>
        <w:rPr>
          <w:rFonts w:ascii="方正楷体简体" w:eastAsia="方正楷体简体"/>
          <w:color w:val="000000"/>
          <w:spacing w:val="6"/>
          <w:sz w:val="30"/>
          <w:szCs w:val="30"/>
        </w:rPr>
      </w:pPr>
      <w:r>
        <w:rPr>
          <w:rFonts w:hint="eastAsia" w:ascii="方正楷体简体" w:eastAsia="方正楷体简体"/>
          <w:color w:val="000000"/>
          <w:spacing w:val="6"/>
          <w:sz w:val="30"/>
          <w:szCs w:val="30"/>
        </w:rPr>
        <w:t>（总第924期）</w:t>
      </w:r>
    </w:p>
    <w:p>
      <w:pPr>
        <w:adjustRightInd w:val="0"/>
        <w:jc w:val="center"/>
        <w:rPr>
          <w:rFonts w:ascii="方正楷体简体" w:eastAsia="方正楷体简体"/>
          <w:color w:val="000000"/>
          <w:spacing w:val="6"/>
          <w:sz w:val="30"/>
          <w:szCs w:val="30"/>
        </w:rPr>
      </w:pPr>
      <w:r>
        <w:rPr>
          <w:color w:val="B72115"/>
          <w:sz w:val="30"/>
          <w:szCs w:val="30"/>
        </w:rPr>
        <mc:AlternateContent>
          <mc:Choice Requires="wps">
            <w:drawing>
              <wp:anchor distT="0" distB="0" distL="0" distR="0" simplePos="0" relativeHeight="251661312" behindDoc="0" locked="0" layoutInCell="1" allowOverlap="1">
                <wp:simplePos x="0" y="0"/>
                <wp:positionH relativeFrom="column">
                  <wp:posOffset>-47625</wp:posOffset>
                </wp:positionH>
                <wp:positionV relativeFrom="paragraph">
                  <wp:posOffset>347345</wp:posOffset>
                </wp:positionV>
                <wp:extent cx="5314950" cy="0"/>
                <wp:effectExtent l="0" t="0" r="0" b="0"/>
                <wp:wrapNone/>
                <wp:docPr id="1028" name="直接连接符 1"/>
                <wp:cNvGraphicFramePr/>
                <a:graphic xmlns:a="http://schemas.openxmlformats.org/drawingml/2006/main">
                  <a:graphicData uri="http://schemas.microsoft.com/office/word/2010/wordprocessingShape">
                    <wps:wsp>
                      <wps:cNvCnPr/>
                      <wps:spPr>
                        <a:xfrm>
                          <a:off x="0" y="0"/>
                          <a:ext cx="5314950" cy="0"/>
                        </a:xfrm>
                        <a:prstGeom prst="line">
                          <a:avLst/>
                        </a:prstGeom>
                        <a:ln w="9525" cap="flat" cmpd="sng">
                          <a:solidFill>
                            <a:srgbClr val="CC0000"/>
                          </a:solidFill>
                          <a:prstDash val="solid"/>
                          <a:round/>
                          <a:headEnd type="none" w="med" len="med"/>
                          <a:tailEnd type="none" w="med" len="med"/>
                        </a:ln>
                      </wps:spPr>
                      <wps:bodyPr/>
                    </wps:wsp>
                  </a:graphicData>
                </a:graphic>
              </wp:anchor>
            </w:drawing>
          </mc:Choice>
          <mc:Fallback>
            <w:pict>
              <v:line id="直接连接符 1" o:spid="_x0000_s1026" o:spt="20" style="position:absolute;left:0pt;margin-left:-3.75pt;margin-top:27.35pt;height:0pt;width:418.5pt;z-index:251661312;mso-width-relative:page;mso-height-relative:page;" filled="f" stroked="t" coordsize="21600,21600" o:gfxdata="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Nr3RSNoAAAAIAQAADwAA&#10;AAAAAAABACAAAAAiAAAAZHJzL2Rvd25yZXYueG1sUEsBAhQAFAAAAAgAh07iQBYfQk7bAQAAlwMA&#10;AA4AAAAAAAAAAQAgAAAAKQEAAGRycy9lMm9Eb2MueG1sUEsFBgAAAAAGAAYAWQEAAHYFAAAAAA==&#10;">
                <v:fill on="f" focussize="0,0"/>
                <v:stroke color="#CC0000" joinstyle="round"/>
                <v:imagedata o:title=""/>
                <o:lock v:ext="edit" aspectratio="f"/>
              </v:line>
            </w:pict>
          </mc:Fallback>
        </mc:AlternateContent>
      </w:r>
      <w:r>
        <w:rPr>
          <w:rFonts w:hint="eastAsia" w:ascii="方正楷体简体" w:eastAsia="方正楷体简体"/>
          <w:color w:val="000000"/>
          <w:spacing w:val="6"/>
          <w:sz w:val="30"/>
          <w:szCs w:val="30"/>
        </w:rPr>
        <w:t>办公厅新闻信息处、信息中心舆情处      2020年6月4日</w:t>
      </w:r>
    </w:p>
    <w:p>
      <w:pPr>
        <w:spacing w:line="720" w:lineRule="exact"/>
        <w:ind w:firstLine="720" w:firstLineChars="200"/>
        <w:jc w:val="left"/>
        <w:rPr>
          <w:rFonts w:ascii="黑体" w:hAnsi="黑体" w:eastAsia="黑体"/>
          <w:bCs/>
          <w:color w:val="000000"/>
          <w:kern w:val="0"/>
          <w:sz w:val="36"/>
          <w:szCs w:val="36"/>
        </w:rPr>
      </w:pPr>
    </w:p>
    <w:p>
      <w:pPr>
        <w:spacing w:line="720" w:lineRule="exact"/>
        <w:ind w:firstLine="720" w:firstLineChars="200"/>
        <w:rPr>
          <w:rFonts w:ascii="黑体" w:hAnsi="黑体" w:eastAsia="黑体"/>
          <w:color w:val="000000"/>
          <w:kern w:val="0"/>
          <w:sz w:val="36"/>
          <w:szCs w:val="36"/>
        </w:rPr>
      </w:pPr>
      <w:r>
        <w:rPr>
          <w:rFonts w:hint="eastAsia" w:ascii="黑体" w:hAnsi="黑体" w:eastAsia="黑体"/>
          <w:color w:val="000000"/>
          <w:kern w:val="0"/>
          <w:sz w:val="36"/>
          <w:szCs w:val="36"/>
        </w:rPr>
        <w:t>一、时政新闻摘要</w:t>
      </w:r>
    </w:p>
    <w:p>
      <w:pPr>
        <w:spacing w:line="720" w:lineRule="exact"/>
        <w:ind w:firstLine="720" w:firstLineChars="200"/>
        <w:rPr>
          <w:rFonts w:ascii="仿宋_GB2312" w:eastAsia="仿宋_GB2312"/>
          <w:color w:val="000000"/>
          <w:kern w:val="0"/>
          <w:sz w:val="36"/>
          <w:szCs w:val="36"/>
        </w:rPr>
      </w:pPr>
      <w:r>
        <w:rPr>
          <w:rFonts w:hint="eastAsia" w:ascii="仿宋_GB2312" w:eastAsia="仿宋_GB2312"/>
          <w:color w:val="000000"/>
          <w:kern w:val="0"/>
          <w:sz w:val="36"/>
          <w:szCs w:val="36"/>
        </w:rPr>
        <w:t>1.6月2日，习近平主持召开专家学者座谈会并强调，只有构建起强大的公共卫生体系，健全预警响应机制，全面提升防控和救治能力，织密防护网、筑牢筑实隔离墙，才能切实为维护人民健康提供有力保障。（6月2日，新华社）</w:t>
      </w:r>
    </w:p>
    <w:p>
      <w:pPr>
        <w:spacing w:line="720" w:lineRule="exact"/>
        <w:ind w:firstLine="720" w:firstLineChars="200"/>
        <w:rPr>
          <w:rFonts w:ascii="仿宋_GB2312" w:eastAsia="仿宋_GB2312"/>
          <w:color w:val="000000"/>
          <w:kern w:val="0"/>
          <w:sz w:val="36"/>
          <w:szCs w:val="36"/>
        </w:rPr>
      </w:pPr>
      <w:r>
        <w:rPr>
          <w:rFonts w:hint="eastAsia" w:ascii="仿宋_GB2312" w:eastAsia="仿宋_GB2312"/>
          <w:color w:val="000000"/>
          <w:kern w:val="0"/>
          <w:sz w:val="36"/>
          <w:szCs w:val="36"/>
        </w:rPr>
        <w:t>2.国务院办公厅转发国家发展改革委、交通运输部的《关于进一步降低物流成本的实施意见》提出，严格落实鲜活农产品运输“绿色通道”政策，切实降低冷鲜猪肉等鲜活农产品运输成本。布局建设一批国家骨干冷链物流基地，有针对性补齐城乡冷链物流设施短板，整合冷链物流以及农产品生产、流通资源，提高冷链物流规模化、集约化、组织化、网络化水平，降低冷链物流成本。（6月2日，新华社）</w:t>
      </w:r>
    </w:p>
    <w:p>
      <w:pPr>
        <w:spacing w:line="720" w:lineRule="exact"/>
        <w:ind w:firstLine="720" w:firstLineChars="200"/>
        <w:rPr>
          <w:rFonts w:hint="eastAsia" w:ascii="仿宋_GB2312" w:eastAsia="仿宋_GB2312"/>
          <w:color w:val="000000"/>
          <w:kern w:val="0"/>
          <w:sz w:val="36"/>
          <w:szCs w:val="36"/>
        </w:rPr>
      </w:pPr>
      <w:r>
        <w:rPr>
          <w:rFonts w:hint="eastAsia" w:ascii="仿宋_GB2312" w:eastAsia="仿宋_GB2312"/>
          <w:color w:val="000000"/>
          <w:kern w:val="0"/>
          <w:sz w:val="36"/>
          <w:szCs w:val="36"/>
        </w:rPr>
        <w:t>3.财政部、人社部印发的《关于做好2020年高校毕业生“三支一扶”计划实施工作的通知》提出，积极推选“三支一扶”人员兼任基层服务单位团委副书记、</w:t>
      </w:r>
      <w:r>
        <w:rPr>
          <w:rFonts w:hint="eastAsia" w:ascii="黑体" w:hAnsi="黑体" w:eastAsia="黑体"/>
          <w:color w:val="000000"/>
          <w:kern w:val="0"/>
          <w:sz w:val="36"/>
          <w:szCs w:val="36"/>
        </w:rPr>
        <w:t>基层供销社主任助理</w:t>
      </w:r>
      <w:r>
        <w:rPr>
          <w:rFonts w:hint="eastAsia" w:ascii="仿宋_GB2312" w:eastAsia="仿宋_GB2312"/>
          <w:color w:val="000000"/>
          <w:kern w:val="0"/>
          <w:sz w:val="36"/>
          <w:szCs w:val="36"/>
        </w:rPr>
        <w:t>等，加强培养锻炼。（6月3日，人民网）</w:t>
      </w:r>
    </w:p>
    <w:p>
      <w:pPr>
        <w:spacing w:line="720" w:lineRule="exact"/>
        <w:ind w:firstLine="720" w:firstLineChars="200"/>
        <w:rPr>
          <w:rFonts w:ascii="仿宋_GB2312" w:eastAsia="仿宋_GB2312"/>
          <w:color w:val="000000"/>
          <w:kern w:val="0"/>
          <w:sz w:val="36"/>
          <w:szCs w:val="36"/>
        </w:rPr>
      </w:pPr>
      <w:r>
        <w:rPr>
          <w:rFonts w:hint="eastAsia" w:ascii="仿宋_GB2312" w:eastAsia="仿宋_GB2312"/>
          <w:color w:val="000000"/>
          <w:kern w:val="0"/>
          <w:sz w:val="36"/>
          <w:szCs w:val="36"/>
        </w:rPr>
        <w:t>4.农业农村部、银保监会联合印发《关于推进渔业互助保险系统体制改革有关工作的通知》，确定“剥离协会保险业务，设立专业保险机构承接”的总体思路，全面开启渔业互助保险系统体制改革。（6月2日，农业农村部网站）</w:t>
      </w:r>
    </w:p>
    <w:p>
      <w:pPr>
        <w:spacing w:line="720" w:lineRule="exact"/>
        <w:ind w:firstLine="720" w:firstLineChars="200"/>
        <w:rPr>
          <w:rFonts w:ascii="黑体" w:hAnsi="黑体" w:eastAsia="黑体"/>
          <w:kern w:val="0"/>
          <w:sz w:val="36"/>
          <w:szCs w:val="36"/>
        </w:rPr>
      </w:pPr>
      <w:r>
        <w:rPr>
          <w:rFonts w:hint="eastAsia" w:ascii="黑体" w:hAnsi="黑体" w:eastAsia="黑体"/>
          <w:kern w:val="0"/>
          <w:sz w:val="36"/>
          <w:szCs w:val="36"/>
        </w:rPr>
        <w:t>二、</w:t>
      </w:r>
      <w:r>
        <w:rPr>
          <w:rFonts w:hint="eastAsia" w:ascii="黑体" w:hAnsi="黑体" w:eastAsia="黑体"/>
          <w:color w:val="000000"/>
          <w:kern w:val="0"/>
          <w:sz w:val="36"/>
          <w:szCs w:val="36"/>
        </w:rPr>
        <w:t>本级要闻简报</w:t>
      </w:r>
    </w:p>
    <w:p>
      <w:pPr>
        <w:spacing w:line="720" w:lineRule="exact"/>
        <w:ind w:firstLine="720" w:firstLineChars="200"/>
        <w:rPr>
          <w:rFonts w:ascii="仿宋_GB2312" w:eastAsia="仿宋_GB2312"/>
          <w:color w:val="000000"/>
          <w:kern w:val="0"/>
          <w:sz w:val="36"/>
          <w:szCs w:val="36"/>
        </w:rPr>
      </w:pPr>
      <w:r>
        <w:rPr>
          <w:rFonts w:hint="eastAsia" w:ascii="仿宋_GB2312" w:eastAsia="仿宋_GB2312"/>
          <w:color w:val="000000"/>
          <w:kern w:val="0"/>
          <w:sz w:val="36"/>
          <w:szCs w:val="36"/>
        </w:rPr>
        <w:t>1.6月3日，《人民日报》19版报道《电商扶贫，一根网线连两头》。报道指出，由</w:t>
      </w:r>
      <w:r>
        <w:rPr>
          <w:rFonts w:hint="eastAsia" w:ascii="黑体" w:hAnsi="黑体" w:eastAsia="黑体"/>
          <w:color w:val="000000"/>
          <w:kern w:val="0"/>
          <w:sz w:val="36"/>
          <w:szCs w:val="36"/>
        </w:rPr>
        <w:t>中国供销集团</w:t>
      </w:r>
      <w:r>
        <w:rPr>
          <w:rFonts w:hint="eastAsia" w:ascii="仿宋_GB2312" w:eastAsia="仿宋_GB2312"/>
          <w:color w:val="000000"/>
          <w:kern w:val="0"/>
          <w:sz w:val="36"/>
          <w:szCs w:val="36"/>
        </w:rPr>
        <w:t>所属</w:t>
      </w:r>
      <w:r>
        <w:rPr>
          <w:rFonts w:hint="eastAsia" w:ascii="黑体" w:hAnsi="黑体" w:eastAsia="黑体"/>
          <w:color w:val="000000"/>
          <w:kern w:val="0"/>
          <w:sz w:val="36"/>
          <w:szCs w:val="36"/>
        </w:rPr>
        <w:t>中国供销电子商务公司</w:t>
      </w:r>
      <w:r>
        <w:rPr>
          <w:rFonts w:hint="eastAsia" w:ascii="仿宋_GB2312" w:eastAsia="仿宋_GB2312"/>
          <w:color w:val="000000"/>
          <w:kern w:val="0"/>
          <w:sz w:val="36"/>
          <w:szCs w:val="36"/>
        </w:rPr>
        <w:t>建设运营的“贫困地区农副产品网络销售平台”自今年1月1日正式上线以来，已入驻供应商5000多家，覆盖797个国家级贫困县，上线2.4万多种商品，成交额超过2.5亿元。（6月3日，人民日报）</w:t>
      </w:r>
    </w:p>
    <w:p>
      <w:pPr>
        <w:spacing w:line="720" w:lineRule="exact"/>
        <w:ind w:firstLine="720" w:firstLineChars="200"/>
        <w:rPr>
          <w:rFonts w:hint="eastAsia" w:ascii="仿宋_GB2312" w:eastAsia="仿宋_GB2312"/>
          <w:color w:val="000000"/>
          <w:kern w:val="0"/>
          <w:sz w:val="36"/>
          <w:szCs w:val="36"/>
        </w:rPr>
      </w:pPr>
      <w:r>
        <w:rPr>
          <w:rFonts w:hint="eastAsia" w:ascii="仿宋_GB2312" w:eastAsia="仿宋_GB2312"/>
          <w:color w:val="000000"/>
          <w:kern w:val="0"/>
          <w:sz w:val="36"/>
          <w:szCs w:val="36"/>
        </w:rPr>
        <w:t>2.6月2日，中央电视台《新闻直播间》栏目报道供销合作社系统服务“三夏”助农增收情况。报道指出，三夏时节，</w:t>
      </w:r>
      <w:r>
        <w:rPr>
          <w:rFonts w:hint="eastAsia" w:ascii="黑体" w:hAnsi="黑体" w:eastAsia="黑体"/>
          <w:color w:val="000000"/>
          <w:kern w:val="0"/>
          <w:sz w:val="36"/>
          <w:szCs w:val="36"/>
        </w:rPr>
        <w:t>各地供销合作社系统</w:t>
      </w:r>
      <w:r>
        <w:rPr>
          <w:rFonts w:hint="eastAsia" w:ascii="仿宋_GB2312" w:eastAsia="仿宋_GB2312"/>
          <w:color w:val="000000"/>
          <w:kern w:val="0"/>
          <w:sz w:val="36"/>
          <w:szCs w:val="36"/>
        </w:rPr>
        <w:t>通过健全农业社会化服务体系，实现小农户和现代农业发展有机衔接，提升农业社会化服务水平，助力粮食丰产、农民增收。其中，</w:t>
      </w:r>
      <w:r>
        <w:rPr>
          <w:rFonts w:hint="eastAsia" w:ascii="黑体" w:hAnsi="黑体" w:eastAsia="黑体"/>
          <w:color w:val="000000"/>
          <w:kern w:val="0"/>
          <w:sz w:val="36"/>
          <w:szCs w:val="36"/>
        </w:rPr>
        <w:t>江苏省泰州市供销合作社</w:t>
      </w:r>
      <w:r>
        <w:rPr>
          <w:rFonts w:hint="eastAsia" w:ascii="仿宋_GB2312" w:eastAsia="仿宋_GB2312"/>
          <w:color w:val="000000"/>
          <w:kern w:val="0"/>
          <w:sz w:val="36"/>
          <w:szCs w:val="36"/>
        </w:rPr>
        <w:t>针对农业生产产前、产中、产后的不同需求，开展全托管、半托管社会化服务，提供机耕、育秧、植保、测土配方、收割、烘干、销售等服务。（6月2日，央视网）</w:t>
      </w:r>
    </w:p>
    <w:p>
      <w:pPr>
        <w:spacing w:line="720" w:lineRule="exact"/>
        <w:ind w:firstLine="720" w:firstLineChars="200"/>
        <w:rPr>
          <w:rFonts w:hint="eastAsia" w:ascii="仿宋_GB2312" w:eastAsia="仿宋_GB2312"/>
          <w:color w:val="000000"/>
          <w:kern w:val="0"/>
          <w:sz w:val="36"/>
          <w:szCs w:val="36"/>
        </w:rPr>
      </w:pPr>
      <w:r>
        <w:rPr>
          <w:rFonts w:hint="eastAsia" w:ascii="仿宋_GB2312" w:eastAsia="仿宋_GB2312"/>
          <w:color w:val="000000"/>
          <w:kern w:val="0"/>
          <w:sz w:val="36"/>
          <w:szCs w:val="36"/>
        </w:rPr>
        <w:t>3.6月3日从国家开发银行获悉，截至5月末，国开行100亿元春耕备耕专项贷款已全部发放完毕。在支持对象上，国开行重点支持</w:t>
      </w:r>
      <w:r>
        <w:rPr>
          <w:rFonts w:hint="eastAsia" w:ascii="黑体" w:hAnsi="黑体" w:eastAsia="黑体"/>
          <w:color w:val="000000"/>
          <w:kern w:val="0"/>
          <w:sz w:val="36"/>
          <w:szCs w:val="36"/>
        </w:rPr>
        <w:t>供销合作社</w:t>
      </w:r>
      <w:r>
        <w:rPr>
          <w:rFonts w:hint="eastAsia" w:ascii="仿宋_GB2312" w:eastAsia="仿宋_GB2312"/>
          <w:color w:val="000000"/>
          <w:kern w:val="0"/>
          <w:sz w:val="36"/>
          <w:szCs w:val="36"/>
        </w:rPr>
        <w:t>系统企业，累计发放贷款73.4亿元，全力保障种子、农药、化肥等农资生产流通。国开行会同北京分行，向</w:t>
      </w:r>
      <w:r>
        <w:rPr>
          <w:rFonts w:hint="eastAsia" w:ascii="黑体" w:hAnsi="黑体" w:eastAsia="黑体"/>
          <w:color w:val="000000"/>
          <w:kern w:val="0"/>
          <w:sz w:val="36"/>
          <w:szCs w:val="36"/>
        </w:rPr>
        <w:t>中国供销集团</w:t>
      </w:r>
      <w:r>
        <w:rPr>
          <w:rFonts w:hint="eastAsia" w:ascii="仿宋_GB2312" w:eastAsia="仿宋_GB2312"/>
          <w:color w:val="000000"/>
          <w:kern w:val="0"/>
          <w:sz w:val="36"/>
          <w:szCs w:val="36"/>
        </w:rPr>
        <w:t>下属化肥、农药流通龙头企业发放44.2亿元贷款，支持采购化肥175万吨、农药1万吨。在湖北，国开行湖北分行克服疫情封城的不利条件，开辟线上绿色通道，向</w:t>
      </w:r>
      <w:r>
        <w:rPr>
          <w:rFonts w:hint="eastAsia" w:ascii="黑体" w:hAnsi="黑体" w:eastAsia="黑体"/>
          <w:color w:val="000000"/>
          <w:kern w:val="0"/>
          <w:sz w:val="36"/>
          <w:szCs w:val="36"/>
        </w:rPr>
        <w:t>湖北省供销合作社</w:t>
      </w:r>
      <w:r>
        <w:rPr>
          <w:rFonts w:hint="eastAsia" w:ascii="仿宋_GB2312" w:eastAsia="仿宋_GB2312"/>
          <w:color w:val="000000"/>
          <w:kern w:val="0"/>
          <w:sz w:val="36"/>
          <w:szCs w:val="36"/>
        </w:rPr>
        <w:t>、兴发化工发放贷款2.66亿元，保障化肥生产流通。（6月3日，中证网）</w:t>
      </w:r>
    </w:p>
    <w:p>
      <w:pPr>
        <w:spacing w:line="720" w:lineRule="exact"/>
        <w:ind w:firstLine="720" w:firstLineChars="200"/>
        <w:rPr>
          <w:rFonts w:ascii="仿宋_GB2312" w:eastAsia="仿宋_GB2312"/>
          <w:color w:val="000000"/>
          <w:kern w:val="0"/>
          <w:sz w:val="36"/>
          <w:szCs w:val="36"/>
        </w:rPr>
      </w:pPr>
      <w:r>
        <w:rPr>
          <w:rFonts w:hint="eastAsia" w:ascii="仿宋_GB2312" w:eastAsia="仿宋_GB2312"/>
          <w:color w:val="000000"/>
          <w:kern w:val="0"/>
          <w:sz w:val="36"/>
          <w:szCs w:val="36"/>
        </w:rPr>
        <w:t>4.4月以来，在中央部门的鼎力相助和兄弟省份的大力支持下，湖北农产品出村进城卖全国。其中，在</w:t>
      </w:r>
      <w:r>
        <w:rPr>
          <w:rFonts w:hint="eastAsia" w:ascii="黑体" w:hAnsi="黑体" w:eastAsia="黑体"/>
          <w:color w:val="000000"/>
          <w:kern w:val="0"/>
          <w:sz w:val="36"/>
          <w:szCs w:val="36"/>
        </w:rPr>
        <w:t>中华全国供销合作总社</w:t>
      </w:r>
      <w:r>
        <w:rPr>
          <w:rFonts w:hint="eastAsia" w:ascii="仿宋_GB2312" w:eastAsia="仿宋_GB2312"/>
          <w:color w:val="000000"/>
          <w:kern w:val="0"/>
          <w:sz w:val="36"/>
          <w:szCs w:val="36"/>
        </w:rPr>
        <w:t>的组织动员下，来自全国供销合作社系统企业、行业协会的订单密集向湖北发来。</w:t>
      </w:r>
      <w:r>
        <w:rPr>
          <w:rFonts w:hint="eastAsia" w:ascii="黑体" w:hAnsi="黑体" w:eastAsia="黑体"/>
          <w:color w:val="000000"/>
          <w:kern w:val="0"/>
          <w:sz w:val="36"/>
          <w:szCs w:val="36"/>
        </w:rPr>
        <w:t>中国茶叶流通协会</w:t>
      </w:r>
      <w:r>
        <w:rPr>
          <w:rFonts w:hint="eastAsia" w:ascii="仿宋_GB2312" w:eastAsia="仿宋_GB2312"/>
          <w:color w:val="000000"/>
          <w:kern w:val="0"/>
          <w:sz w:val="36"/>
          <w:szCs w:val="36"/>
        </w:rPr>
        <w:t>启动公益扶贫茶项目，优先安排国内百强茶企与恩施、宜昌、黄冈等地对接，助力精准扶贫和产业可持续发展。春茶采摘期间，协会组织会员企业采购湖北花茶茶坯500余吨，采购出口茶叶300余吨。（6月3日，农业农村部网）</w:t>
      </w:r>
    </w:p>
    <w:p>
      <w:pPr>
        <w:spacing w:line="720" w:lineRule="exact"/>
        <w:ind w:firstLine="720" w:firstLineChars="200"/>
        <w:rPr>
          <w:rFonts w:ascii="黑体" w:hAnsi="黑体" w:eastAsia="黑体"/>
          <w:kern w:val="0"/>
          <w:sz w:val="36"/>
          <w:szCs w:val="36"/>
        </w:rPr>
      </w:pPr>
      <w:r>
        <w:rPr>
          <w:rFonts w:hint="eastAsia" w:ascii="黑体" w:hAnsi="黑体" w:eastAsia="黑体"/>
          <w:kern w:val="0"/>
          <w:sz w:val="36"/>
          <w:szCs w:val="36"/>
        </w:rPr>
        <w:t>三、系统资讯摘编</w:t>
      </w:r>
    </w:p>
    <w:p>
      <w:pPr>
        <w:spacing w:line="720" w:lineRule="exact"/>
        <w:ind w:firstLine="720" w:firstLineChars="200"/>
        <w:rPr>
          <w:rFonts w:hint="eastAsia" w:ascii="仿宋_GB2312" w:eastAsia="仿宋_GB2312"/>
          <w:color w:val="000000"/>
          <w:kern w:val="0"/>
          <w:sz w:val="36"/>
          <w:szCs w:val="36"/>
        </w:rPr>
      </w:pPr>
      <w:r>
        <w:rPr>
          <w:rFonts w:hint="eastAsia" w:ascii="仿宋_GB2312" w:eastAsia="仿宋_GB2312"/>
          <w:color w:val="000000"/>
          <w:kern w:val="0"/>
          <w:sz w:val="36"/>
          <w:szCs w:val="36"/>
        </w:rPr>
        <w:t>1.6月1日，由四川省农业生产资料集团有限公司</w:t>
      </w:r>
      <w:r>
        <w:rPr>
          <w:rFonts w:hint="eastAsia" w:ascii="楷体" w:hAnsi="楷体" w:eastAsia="楷体"/>
          <w:color w:val="000000"/>
          <w:kern w:val="0"/>
          <w:sz w:val="36"/>
          <w:szCs w:val="36"/>
        </w:rPr>
        <w:t>（四川省供销合作社直属企业）</w:t>
      </w:r>
      <w:r>
        <w:rPr>
          <w:rFonts w:hint="eastAsia" w:ascii="仿宋_GB2312" w:eastAsia="仿宋_GB2312"/>
          <w:color w:val="000000"/>
          <w:kern w:val="0"/>
          <w:sz w:val="36"/>
          <w:szCs w:val="36"/>
        </w:rPr>
        <w:t>等联合创建的四川邦力达农联农业技术服务有限公司成立暨启动仪式在成都举行。公司将秉承四川农资集团传统，做精做细农业技术服务，整合西南农化服务市场，推进现代化农业高质量发展。（6月2日，四川供销合作网）</w:t>
      </w:r>
    </w:p>
    <w:p>
      <w:pPr>
        <w:spacing w:line="720" w:lineRule="exact"/>
        <w:ind w:firstLine="720" w:firstLineChars="200"/>
        <w:rPr>
          <w:rFonts w:hint="eastAsia" w:ascii="仿宋_GB2312" w:eastAsia="仿宋_GB2312"/>
          <w:color w:val="000000"/>
          <w:kern w:val="0"/>
          <w:sz w:val="36"/>
          <w:szCs w:val="36"/>
        </w:rPr>
      </w:pPr>
      <w:r>
        <w:rPr>
          <w:rFonts w:hint="eastAsia" w:ascii="仿宋_GB2312" w:eastAsia="仿宋_GB2312"/>
          <w:color w:val="000000"/>
          <w:kern w:val="0"/>
          <w:sz w:val="36"/>
          <w:szCs w:val="36"/>
        </w:rPr>
        <w:t>2.湖南省娄底市政府主导开展全市农村生活垃圾分类工作</w:t>
      </w:r>
      <w:r>
        <w:rPr>
          <w:rFonts w:hint="eastAsia" w:ascii="仿宋_GB2312" w:eastAsia="仿宋_GB2312"/>
          <w:color w:val="000000"/>
          <w:kern w:val="0"/>
          <w:sz w:val="36"/>
          <w:szCs w:val="36"/>
          <w:lang w:val="en-US" w:eastAsia="zh-CN"/>
        </w:rPr>
        <w:t>,</w:t>
      </w:r>
      <w:bookmarkStart w:id="0" w:name="_GoBack"/>
      <w:bookmarkEnd w:id="0"/>
      <w:r>
        <w:rPr>
          <w:rFonts w:hint="eastAsia" w:ascii="仿宋_GB2312" w:eastAsia="仿宋_GB2312"/>
          <w:color w:val="000000"/>
          <w:kern w:val="0"/>
          <w:sz w:val="36"/>
          <w:szCs w:val="36"/>
        </w:rPr>
        <w:t>娄底供销合作社社有企业和国资委国有企业共同参与建立回收处理体系，确保低值可回收物和有害垃圾及大件垃圾做到应收尽收。目前，娄底市供销合作社社有企业已在全市5个县市区建成4个县级集散中心，全市还建成1220个村级分拣中心。低值可回收垃圾分出量超1200吨，有害垃圾近16吨。（6月3日，中国环境报）</w:t>
      </w:r>
    </w:p>
    <w:p>
      <w:pPr>
        <w:spacing w:line="720" w:lineRule="exact"/>
        <w:rPr>
          <w:rFonts w:hint="eastAsia" w:ascii="仿宋_GB2312" w:eastAsia="仿宋_GB2312"/>
          <w:color w:val="000000"/>
          <w:kern w:val="0"/>
          <w:sz w:val="36"/>
          <w:szCs w:val="36"/>
        </w:rPr>
      </w:pPr>
    </w:p>
    <w:p>
      <w:pPr>
        <w:spacing w:line="720" w:lineRule="exact"/>
        <w:rPr>
          <w:rFonts w:hint="eastAsia" w:ascii="仿宋_GB2312" w:eastAsia="仿宋_GB2312"/>
          <w:color w:val="000000"/>
          <w:kern w:val="0"/>
          <w:sz w:val="36"/>
          <w:szCs w:val="36"/>
        </w:rPr>
      </w:pPr>
    </w:p>
    <w:p>
      <w:pPr>
        <w:spacing w:line="720" w:lineRule="exact"/>
        <w:rPr>
          <w:rFonts w:hint="eastAsia" w:ascii="仿宋_GB2312" w:eastAsia="仿宋_GB2312"/>
          <w:color w:val="000000"/>
          <w:kern w:val="0"/>
          <w:sz w:val="36"/>
          <w:szCs w:val="36"/>
        </w:rPr>
      </w:pPr>
    </w:p>
    <w:p>
      <w:pPr>
        <w:spacing w:line="720" w:lineRule="exact"/>
        <w:rPr>
          <w:rFonts w:hint="eastAsia" w:ascii="仿宋_GB2312" w:eastAsia="仿宋_GB2312"/>
          <w:color w:val="000000"/>
          <w:kern w:val="0"/>
          <w:sz w:val="36"/>
          <w:szCs w:val="36"/>
        </w:rPr>
      </w:pPr>
    </w:p>
    <w:p>
      <w:pPr>
        <w:spacing w:line="720" w:lineRule="exact"/>
        <w:rPr>
          <w:rFonts w:hint="eastAsia" w:ascii="仿宋_GB2312" w:eastAsia="仿宋_GB2312"/>
          <w:color w:val="000000"/>
          <w:kern w:val="0"/>
          <w:sz w:val="36"/>
          <w:szCs w:val="36"/>
        </w:rPr>
      </w:pPr>
    </w:p>
    <w:p>
      <w:pPr>
        <w:spacing w:line="720" w:lineRule="exact"/>
        <w:rPr>
          <w:rFonts w:hint="eastAsia" w:ascii="仿宋_GB2312" w:eastAsia="仿宋_GB2312"/>
          <w:color w:val="000000"/>
          <w:kern w:val="0"/>
          <w:sz w:val="36"/>
          <w:szCs w:val="36"/>
        </w:rPr>
      </w:pPr>
    </w:p>
    <w:p>
      <w:pPr>
        <w:spacing w:line="720" w:lineRule="exact"/>
        <w:rPr>
          <w:rFonts w:hint="eastAsia" w:ascii="仿宋_GB2312" w:eastAsia="仿宋_GB2312"/>
          <w:color w:val="000000"/>
          <w:kern w:val="0"/>
          <w:sz w:val="36"/>
          <w:szCs w:val="36"/>
        </w:rPr>
      </w:pPr>
    </w:p>
    <w:p>
      <w:pPr>
        <w:spacing w:line="720" w:lineRule="exact"/>
        <w:rPr>
          <w:rFonts w:hint="eastAsia" w:ascii="仿宋_GB2312" w:eastAsia="仿宋_GB2312"/>
          <w:color w:val="000000"/>
          <w:kern w:val="0"/>
          <w:sz w:val="36"/>
          <w:szCs w:val="36"/>
        </w:rPr>
      </w:pPr>
    </w:p>
    <w:p>
      <w:pPr>
        <w:spacing w:line="720" w:lineRule="exact"/>
        <w:rPr>
          <w:rFonts w:ascii="仿宋_GB2312" w:eastAsia="仿宋_GB2312"/>
          <w:color w:val="000000"/>
          <w:kern w:val="0"/>
          <w:sz w:val="36"/>
          <w:szCs w:val="36"/>
        </w:rPr>
      </w:pPr>
    </w:p>
    <w:p>
      <w:pPr>
        <w:spacing w:line="720" w:lineRule="exact"/>
        <w:rPr>
          <w:rFonts w:ascii="仿宋_GB2312" w:eastAsia="仿宋_GB2312"/>
          <w:color w:val="000000"/>
          <w:sz w:val="36"/>
          <w:szCs w:val="36"/>
        </w:rPr>
      </w:pPr>
      <w:r>
        <w:rPr>
          <w:color w:val="000000"/>
        </w:rPr>
        <mc:AlternateContent>
          <mc:Choice Requires="wps">
            <w:drawing>
              <wp:anchor distT="0" distB="0" distL="0" distR="0" simplePos="0" relativeHeight="251662336" behindDoc="0" locked="0" layoutInCell="1" allowOverlap="1">
                <wp:simplePos x="0" y="0"/>
                <wp:positionH relativeFrom="column">
                  <wp:posOffset>8255</wp:posOffset>
                </wp:positionH>
                <wp:positionV relativeFrom="paragraph">
                  <wp:posOffset>328295</wp:posOffset>
                </wp:positionV>
                <wp:extent cx="5579745" cy="0"/>
                <wp:effectExtent l="0" t="0" r="0" b="0"/>
                <wp:wrapNone/>
                <wp:docPr id="1029" name="直接连接符 7"/>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7" o:spid="_x0000_s1026" o:spt="20" style="position:absolute;left:0pt;margin-left:0.65pt;margin-top:25.85pt;height:0pt;width:439.35pt;z-index:251662336;mso-width-relative:page;mso-height-relative:page;" filled="f" stroked="t" coordsize="21600,21600" o:gfxdata="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J8neTNMAAAAHAQAADwAAAAAAAAABACAA&#10;AAAiAAAAZHJzL2Rvd25yZXYueG1sUEsBAhQAFAAAAAgAh07iQK3lnYLZAQAAlwMAAA4AAAAAAAAA&#10;AQAgAAAAIgEAAGRycy9lMm9Eb2MueG1sUEsFBgAAAAAGAAYAWQEAAG0FAAAAAA==&#10;">
                <v:fill on="f" focussize="0,0"/>
                <v:stroke color="#000000" joinstyle="round"/>
                <v:imagedata o:title=""/>
                <o:lock v:ext="edit" aspectratio="f"/>
              </v:line>
            </w:pict>
          </mc:Fallback>
        </mc:AlternateContent>
      </w:r>
    </w:p>
    <w:p>
      <w:pPr>
        <w:adjustRightInd w:val="0"/>
        <w:rPr>
          <w:rFonts w:ascii="方正仿宋简体" w:eastAsia="方正仿宋简体"/>
          <w:color w:val="000000"/>
          <w:spacing w:val="6"/>
          <w:sz w:val="30"/>
          <w:szCs w:val="30"/>
        </w:rPr>
      </w:pPr>
      <w:r>
        <w:rPr>
          <w:rFonts w:hint="eastAsia" w:ascii="方正仿宋简体" w:eastAsia="方正仿宋简体"/>
          <w:color w:val="000000"/>
          <w:spacing w:val="6"/>
          <w:sz w:val="30"/>
          <w:szCs w:val="30"/>
        </w:rPr>
        <w:t>报：总社领导。</w:t>
      </w:r>
    </w:p>
    <w:p>
      <w:pPr>
        <w:adjustRightInd w:val="0"/>
      </w:pPr>
      <w:r>
        <w:rPr>
          <w:color w:val="000000"/>
        </w:rPr>
        <mc:AlternateContent>
          <mc:Choice Requires="wps">
            <w:drawing>
              <wp:anchor distT="0" distB="0" distL="0" distR="0" simplePos="0" relativeHeight="251663360" behindDoc="0" locked="0" layoutInCell="1" allowOverlap="1">
                <wp:simplePos x="0" y="0"/>
                <wp:positionH relativeFrom="column">
                  <wp:posOffset>9525</wp:posOffset>
                </wp:positionH>
                <wp:positionV relativeFrom="paragraph">
                  <wp:posOffset>506730</wp:posOffset>
                </wp:positionV>
                <wp:extent cx="5579745" cy="0"/>
                <wp:effectExtent l="0" t="0" r="0" b="0"/>
                <wp:wrapNone/>
                <wp:docPr id="1030" name="直接连接符 8"/>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8" o:spid="_x0000_s1026" o:spt="20" style="position:absolute;left:0pt;margin-left:0.75pt;margin-top:39.9pt;height:0pt;width:439.35pt;z-index:251663360;mso-width-relative:page;mso-height-relative:page;" filled="f" stroked="t" coordsize="21600,21600" o:gfxdata="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FTtYGfTAAAABwEAAA8AAAAAAAAAAQAg&#10;AAAAIgAAAGRycy9kb3ducmV2LnhtbFBLAQIUABQAAAAIAIdO4kDnnHZ12gEAAJcDAAAOAAAAAAAA&#10;AAEAIAAAACIBAABkcnMvZTJvRG9jLnhtbFBLBQYAAAAABgAGAFkBAABuBQAAAAA=&#10;">
                <v:fill on="f" focussize="0,0"/>
                <v:stroke color="#000000" joinstyle="round"/>
                <v:imagedata o:title=""/>
                <o:lock v:ext="edit" aspectratio="f"/>
              </v:line>
            </w:pict>
          </mc:Fallback>
        </mc:AlternateContent>
      </w:r>
      <w:r>
        <w:rPr>
          <w:rFonts w:hint="eastAsia" w:ascii="方正仿宋简体" w:eastAsia="方正仿宋简体"/>
          <w:color w:val="000000"/>
          <w:spacing w:val="6"/>
          <w:sz w:val="30"/>
          <w:szCs w:val="30"/>
        </w:rPr>
        <w:t>送：各部局主要负责人。</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隶书简体">
    <w:altName w:val="隶书"/>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方正大黑_GBK">
    <w:altName w:val="黑体"/>
    <w:panose1 w:val="03000509000000000000"/>
    <w:charset w:val="86"/>
    <w:family w:val="script"/>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楷体简体">
    <w:altName w:val="宋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panose1 w:val="02010601030101010101"/>
    <w:charset w:val="86"/>
    <w:family w:val="script"/>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PAGE   \* MERGEFORMAT</w:instrText>
    </w:r>
    <w:r>
      <w:rPr>
        <w:rFonts w:ascii="Times New Roman" w:hAnsi="Times New Roman"/>
        <w:sz w:val="21"/>
        <w:szCs w:val="21"/>
      </w:rPr>
      <w:fldChar w:fldCharType="separate"/>
    </w:r>
    <w:r>
      <w:rPr>
        <w:rFonts w:ascii="Times New Roman" w:hAnsi="Times New Roman"/>
        <w:sz w:val="21"/>
        <w:szCs w:val="21"/>
        <w:lang w:val="zh-CN"/>
      </w:rPr>
      <w:t>1</w:t>
    </w:r>
    <w:r>
      <w:rPr>
        <w:rFonts w:ascii="Times New Roman" w:hAnsi="Times New Roman"/>
        <w:sz w:val="21"/>
        <w:szCs w:val="21"/>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5E2751"/>
    <w:rsid w:val="00025849"/>
    <w:rsid w:val="00146E92"/>
    <w:rsid w:val="00207AF3"/>
    <w:rsid w:val="00226EDD"/>
    <w:rsid w:val="00263B80"/>
    <w:rsid w:val="00337EB2"/>
    <w:rsid w:val="00393BAC"/>
    <w:rsid w:val="003F0E0B"/>
    <w:rsid w:val="0046732C"/>
    <w:rsid w:val="004B14A4"/>
    <w:rsid w:val="004B7C55"/>
    <w:rsid w:val="00564851"/>
    <w:rsid w:val="0057738F"/>
    <w:rsid w:val="00647642"/>
    <w:rsid w:val="00706021"/>
    <w:rsid w:val="00727CED"/>
    <w:rsid w:val="007547F6"/>
    <w:rsid w:val="00787495"/>
    <w:rsid w:val="008C5CDE"/>
    <w:rsid w:val="008D29CE"/>
    <w:rsid w:val="009449AD"/>
    <w:rsid w:val="0098335D"/>
    <w:rsid w:val="00986A8E"/>
    <w:rsid w:val="00AB49C6"/>
    <w:rsid w:val="00B04380"/>
    <w:rsid w:val="00B443A8"/>
    <w:rsid w:val="00B832BB"/>
    <w:rsid w:val="00CB326A"/>
    <w:rsid w:val="00CE6E81"/>
    <w:rsid w:val="00DB005A"/>
    <w:rsid w:val="00EC6ACD"/>
    <w:rsid w:val="00FF30B6"/>
    <w:rsid w:val="1F5E2751"/>
    <w:rsid w:val="2A806E5E"/>
    <w:rsid w:val="2F2E1D2A"/>
    <w:rsid w:val="396322C8"/>
    <w:rsid w:val="492A2598"/>
    <w:rsid w:val="4BC622BE"/>
    <w:rsid w:val="4E6C02A1"/>
    <w:rsid w:val="65790543"/>
    <w:rsid w:val="6A1E28D4"/>
    <w:rsid w:val="7E921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4">
    <w:name w:val="Subtitle"/>
    <w:basedOn w:val="1"/>
    <w:next w:val="1"/>
    <w:qFormat/>
    <w:uiPriority w:val="11"/>
    <w:pPr>
      <w:spacing w:before="240" w:after="60" w:line="312" w:lineRule="auto"/>
      <w:jc w:val="center"/>
      <w:outlineLvl w:val="1"/>
    </w:pPr>
    <w:rPr>
      <w:rFonts w:ascii="Cambria" w:hAnsi="Cambria"/>
      <w:b/>
      <w:bCs/>
      <w:kern w:val="28"/>
      <w:sz w:val="32"/>
      <w:szCs w:val="32"/>
    </w:rPr>
  </w:style>
  <w:style w:type="character" w:styleId="7">
    <w:name w:val="Hyperlink"/>
    <w:basedOn w:val="6"/>
    <w:qFormat/>
    <w:uiPriority w:val="0"/>
    <w:rPr>
      <w:color w:val="0000FF"/>
      <w:u w:val="single"/>
    </w:rPr>
  </w:style>
  <w:style w:type="character" w:customStyle="1" w:styleId="8">
    <w:name w:val="页眉 Char"/>
    <w:basedOn w:val="6"/>
    <w:link w:val="3"/>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278</Words>
  <Characters>1589</Characters>
  <Lines>13</Lines>
  <Paragraphs>3</Paragraphs>
  <TotalTime>269</TotalTime>
  <ScaleCrop>false</ScaleCrop>
  <LinksUpToDate>false</LinksUpToDate>
  <CharactersWithSpaces>1864</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2020-06-02T01:29:00Z</dcterms:created>
  <dc:creator>zbs0020200108</dc:creator>
  <cp:lastModifiedBy>Administrator</cp:lastModifiedBy>
  <dcterms:modified xsi:type="dcterms:W3CDTF">2020-06-03T09:52:29Z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