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8C4B923">
      <w:pPr>
        <w:autoSpaceDE w:val="0"/>
        <w:autoSpaceDN w:val="0"/>
        <w:spacing w:before="100" w:beforeAutospacing="1" w:after="100" w:afterAutospacing="1" w:line="560" w:lineRule="exact"/>
        <w:jc w:val="center"/>
        <w:rPr>
          <w:rFonts w:ascii="方正小标宋简体" w:eastAsia="方正小标宋简体"/>
          <w:b/>
          <w:bCs/>
          <w:sz w:val="28"/>
          <w:szCs w:val="28"/>
        </w:rPr>
      </w:pPr>
    </w:p>
    <w:p w14:paraId="65AAA724">
      <w:pPr>
        <w:autoSpaceDE w:val="0"/>
        <w:autoSpaceDN w:val="0"/>
        <w:spacing w:before="100" w:beforeAutospacing="1" w:after="100" w:afterAutospacing="1" w:line="560" w:lineRule="exact"/>
        <w:jc w:val="center"/>
        <w:rPr>
          <w:rFonts w:ascii="黑体" w:hAnsi="黑体" w:eastAsia="黑体"/>
          <w:b/>
          <w:bCs/>
          <w:sz w:val="40"/>
          <w:szCs w:val="40"/>
        </w:rPr>
      </w:pPr>
      <w:r>
        <w:rPr>
          <w:rFonts w:hint="eastAsia" w:ascii="黑体" w:hAnsi="黑体" w:eastAsia="黑体"/>
          <w:b/>
          <w:bCs/>
          <w:sz w:val="40"/>
          <w:szCs w:val="40"/>
        </w:rPr>
        <w:t>《</w:t>
      </w:r>
      <w:r>
        <w:rPr>
          <w:rFonts w:hint="eastAsia" w:ascii="黑体" w:hAnsi="黑体" w:eastAsia="黑体"/>
          <w:b/>
          <w:color w:val="000000"/>
          <w:sz w:val="40"/>
          <w:szCs w:val="40"/>
        </w:rPr>
        <w:t>智慧农资连锁网点建设与管理规范</w:t>
      </w:r>
      <w:r>
        <w:rPr>
          <w:rFonts w:hint="eastAsia" w:ascii="黑体" w:hAnsi="黑体" w:eastAsia="黑体"/>
          <w:b/>
          <w:bCs/>
          <w:sz w:val="40"/>
          <w:szCs w:val="40"/>
        </w:rPr>
        <w:t>》</w:t>
      </w:r>
    </w:p>
    <w:p w14:paraId="24D20BC1">
      <w:pPr>
        <w:autoSpaceDE w:val="0"/>
        <w:autoSpaceDN w:val="0"/>
        <w:spacing w:before="100" w:beforeAutospacing="1" w:after="100" w:afterAutospacing="1" w:line="560" w:lineRule="exact"/>
        <w:jc w:val="center"/>
        <w:rPr>
          <w:rFonts w:eastAsia="仿宋_GB2312"/>
          <w:b/>
          <w:bCs/>
          <w:sz w:val="30"/>
          <w:szCs w:val="30"/>
        </w:rPr>
      </w:pPr>
      <w:r>
        <w:rPr>
          <w:rFonts w:hint="eastAsia" w:ascii="黑体" w:hAnsi="黑体" w:eastAsia="黑体"/>
          <w:b/>
          <w:bCs/>
          <w:sz w:val="30"/>
          <w:szCs w:val="30"/>
        </w:rPr>
        <w:t>供销合</w:t>
      </w:r>
      <w:bookmarkStart w:id="123" w:name="_GoBack"/>
      <w:bookmarkEnd w:id="123"/>
      <w:r>
        <w:rPr>
          <w:rFonts w:hint="eastAsia" w:ascii="黑体" w:hAnsi="黑体" w:eastAsia="黑体"/>
          <w:b/>
          <w:bCs/>
          <w:sz w:val="30"/>
          <w:szCs w:val="30"/>
        </w:rPr>
        <w:t>作行业标准</w:t>
      </w:r>
    </w:p>
    <w:p w14:paraId="6CCF6186">
      <w:pPr>
        <w:autoSpaceDE w:val="0"/>
        <w:autoSpaceDN w:val="0"/>
        <w:spacing w:before="100" w:beforeAutospacing="1" w:after="100" w:afterAutospacing="1" w:line="560" w:lineRule="exact"/>
        <w:jc w:val="center"/>
        <w:outlineLvl w:val="0"/>
        <w:rPr>
          <w:rFonts w:ascii="黑体" w:hAnsi="黑体" w:eastAsia="黑体"/>
          <w:b/>
          <w:bCs/>
          <w:sz w:val="30"/>
          <w:szCs w:val="30"/>
        </w:rPr>
      </w:pPr>
      <w:bookmarkStart w:id="0" w:name="_Toc10176"/>
      <w:bookmarkStart w:id="1" w:name="_Toc1662"/>
      <w:bookmarkStart w:id="2" w:name="_Toc21897"/>
      <w:bookmarkStart w:id="3" w:name="_Toc26872"/>
      <w:bookmarkStart w:id="4" w:name="_Toc16990"/>
      <w:bookmarkStart w:id="5" w:name="_Toc6073"/>
      <w:bookmarkStart w:id="6" w:name="_Toc7845"/>
      <w:bookmarkStart w:id="7" w:name="_Toc14293"/>
      <w:bookmarkStart w:id="8" w:name="_Toc13932"/>
      <w:bookmarkStart w:id="9" w:name="_Toc27037"/>
      <w:r>
        <w:rPr>
          <w:rFonts w:hint="eastAsia" w:ascii="黑体" w:hAnsi="黑体" w:eastAsia="黑体"/>
          <w:b/>
          <w:bCs/>
          <w:sz w:val="30"/>
          <w:szCs w:val="30"/>
        </w:rPr>
        <w:t>（第二次征求意见稿）</w:t>
      </w:r>
      <w:bookmarkEnd w:id="0"/>
      <w:bookmarkEnd w:id="1"/>
      <w:bookmarkEnd w:id="2"/>
      <w:bookmarkEnd w:id="3"/>
      <w:bookmarkEnd w:id="4"/>
      <w:bookmarkEnd w:id="5"/>
      <w:bookmarkEnd w:id="6"/>
      <w:bookmarkEnd w:id="7"/>
      <w:bookmarkEnd w:id="8"/>
      <w:bookmarkEnd w:id="9"/>
    </w:p>
    <w:p w14:paraId="2D1681EF">
      <w:pPr>
        <w:autoSpaceDE w:val="0"/>
        <w:autoSpaceDN w:val="0"/>
        <w:spacing w:before="100" w:beforeAutospacing="1" w:after="100" w:afterAutospacing="1" w:line="560" w:lineRule="exact"/>
        <w:jc w:val="center"/>
        <w:rPr>
          <w:rFonts w:eastAsia="仿宋_GB2312"/>
          <w:b/>
          <w:bCs/>
          <w:sz w:val="28"/>
          <w:szCs w:val="28"/>
        </w:rPr>
      </w:pPr>
    </w:p>
    <w:p w14:paraId="0397B06C">
      <w:pPr>
        <w:autoSpaceDE w:val="0"/>
        <w:autoSpaceDN w:val="0"/>
        <w:spacing w:before="100" w:beforeAutospacing="1" w:after="100" w:afterAutospacing="1" w:line="560" w:lineRule="exact"/>
        <w:jc w:val="center"/>
        <w:rPr>
          <w:rFonts w:eastAsia="仿宋_GB2312"/>
          <w:b/>
          <w:bCs/>
          <w:sz w:val="28"/>
          <w:szCs w:val="28"/>
        </w:rPr>
      </w:pPr>
    </w:p>
    <w:p w14:paraId="4871A8CC">
      <w:pPr>
        <w:autoSpaceDE w:val="0"/>
        <w:autoSpaceDN w:val="0"/>
        <w:spacing w:before="100" w:beforeAutospacing="1" w:after="100" w:afterAutospacing="1" w:line="560" w:lineRule="exact"/>
        <w:jc w:val="center"/>
        <w:rPr>
          <w:rFonts w:eastAsia="仿宋_GB2312"/>
          <w:b/>
          <w:bCs/>
          <w:sz w:val="28"/>
          <w:szCs w:val="28"/>
        </w:rPr>
      </w:pPr>
    </w:p>
    <w:p w14:paraId="1CCF023E">
      <w:pPr>
        <w:autoSpaceDE w:val="0"/>
        <w:autoSpaceDN w:val="0"/>
        <w:spacing w:before="100" w:beforeAutospacing="1" w:after="100" w:afterAutospacing="1" w:line="560" w:lineRule="exact"/>
        <w:jc w:val="center"/>
        <w:rPr>
          <w:rFonts w:ascii="黑体" w:hAnsi="黑体"/>
          <w:b/>
          <w:bCs/>
          <w:sz w:val="44"/>
          <w:szCs w:val="28"/>
        </w:rPr>
      </w:pPr>
      <w:r>
        <w:rPr>
          <w:rFonts w:hint="eastAsia" w:ascii="黑体" w:hAnsi="黑体"/>
          <w:b/>
          <w:bCs/>
          <w:sz w:val="44"/>
          <w:szCs w:val="28"/>
        </w:rPr>
        <w:t>编制说明</w:t>
      </w:r>
    </w:p>
    <w:p w14:paraId="0E395A5D">
      <w:pPr>
        <w:autoSpaceDE w:val="0"/>
        <w:autoSpaceDN w:val="0"/>
        <w:spacing w:before="100" w:beforeAutospacing="1" w:after="100" w:afterAutospacing="1" w:line="560" w:lineRule="exact"/>
        <w:jc w:val="center"/>
        <w:rPr>
          <w:rFonts w:ascii="黑体" w:hAnsi="黑体" w:eastAsia="黑体"/>
          <w:b/>
          <w:bCs/>
          <w:color w:val="000000"/>
          <w:sz w:val="28"/>
          <w:szCs w:val="28"/>
        </w:rPr>
      </w:pPr>
    </w:p>
    <w:p w14:paraId="75B6512C">
      <w:pPr>
        <w:autoSpaceDE w:val="0"/>
        <w:autoSpaceDN w:val="0"/>
        <w:spacing w:before="100" w:beforeAutospacing="1" w:after="100" w:afterAutospacing="1" w:line="560" w:lineRule="exact"/>
        <w:jc w:val="center"/>
        <w:rPr>
          <w:rFonts w:ascii="黑体" w:hAnsi="黑体" w:eastAsia="黑体"/>
          <w:b/>
          <w:bCs/>
          <w:color w:val="000000"/>
          <w:sz w:val="28"/>
          <w:szCs w:val="28"/>
        </w:rPr>
      </w:pPr>
    </w:p>
    <w:p w14:paraId="016EA470">
      <w:pPr>
        <w:autoSpaceDE w:val="0"/>
        <w:autoSpaceDN w:val="0"/>
        <w:spacing w:before="100" w:beforeAutospacing="1" w:after="100" w:afterAutospacing="1" w:line="560" w:lineRule="exact"/>
        <w:jc w:val="center"/>
        <w:rPr>
          <w:rFonts w:ascii="黑体" w:hAnsi="黑体" w:eastAsia="黑体"/>
          <w:b/>
          <w:bCs/>
          <w:color w:val="000000"/>
          <w:sz w:val="28"/>
          <w:szCs w:val="28"/>
        </w:rPr>
      </w:pPr>
    </w:p>
    <w:p w14:paraId="5F26B68B">
      <w:pPr>
        <w:autoSpaceDE w:val="0"/>
        <w:autoSpaceDN w:val="0"/>
        <w:spacing w:before="100" w:beforeAutospacing="1" w:after="100" w:afterAutospacing="1" w:line="560" w:lineRule="exact"/>
        <w:jc w:val="center"/>
        <w:rPr>
          <w:rFonts w:ascii="黑体" w:hAnsi="黑体" w:eastAsia="黑体"/>
          <w:b/>
          <w:bCs/>
          <w:color w:val="000000"/>
          <w:sz w:val="28"/>
          <w:szCs w:val="28"/>
        </w:rPr>
      </w:pPr>
    </w:p>
    <w:p w14:paraId="57AA26BF">
      <w:pPr>
        <w:autoSpaceDE w:val="0"/>
        <w:autoSpaceDN w:val="0"/>
        <w:spacing w:before="100" w:beforeAutospacing="1" w:after="100" w:afterAutospacing="1" w:line="560" w:lineRule="exact"/>
        <w:jc w:val="center"/>
        <w:rPr>
          <w:rFonts w:ascii="黑体" w:hAnsi="黑体"/>
          <w:b/>
          <w:bCs/>
          <w:color w:val="000000"/>
          <w:sz w:val="32"/>
          <w:szCs w:val="28"/>
        </w:rPr>
      </w:pPr>
      <w:r>
        <w:rPr>
          <w:rFonts w:hint="eastAsia" w:ascii="黑体" w:hAnsi="黑体"/>
          <w:b/>
          <w:bCs/>
          <w:color w:val="000000"/>
          <w:sz w:val="32"/>
          <w:szCs w:val="28"/>
        </w:rPr>
        <w:t>标准编制工作组</w:t>
      </w:r>
    </w:p>
    <w:p w14:paraId="6EEF7677">
      <w:pPr>
        <w:autoSpaceDE w:val="0"/>
        <w:autoSpaceDN w:val="0"/>
        <w:spacing w:before="100" w:beforeAutospacing="1" w:after="100" w:afterAutospacing="1" w:line="560" w:lineRule="exact"/>
        <w:jc w:val="center"/>
        <w:rPr>
          <w:b/>
          <w:sz w:val="32"/>
        </w:rPr>
      </w:pPr>
      <w:r>
        <w:rPr>
          <w:rFonts w:hint="eastAsia"/>
          <w:b/>
          <w:sz w:val="32"/>
        </w:rPr>
        <w:t>二〇二五年十一月</w:t>
      </w:r>
    </w:p>
    <w:p w14:paraId="670500A5">
      <w:pPr>
        <w:jc w:val="left"/>
        <w:rPr>
          <w:sz w:val="24"/>
        </w:rPr>
      </w:pPr>
      <w:r>
        <w:rPr>
          <w:rFonts w:hint="eastAsia"/>
          <w:b/>
          <w:sz w:val="32"/>
        </w:rPr>
        <w:br w:type="page"/>
      </w:r>
    </w:p>
    <w:p w14:paraId="08FA4AC7">
      <w:pPr>
        <w:pStyle w:val="32"/>
        <w:rPr>
          <w:rFonts w:hAnsi="宋体"/>
          <w:b/>
          <w:sz w:val="30"/>
          <w:szCs w:val="30"/>
        </w:rPr>
        <w:sectPr>
          <w:headerReference r:id="rId5" w:type="first"/>
          <w:footerReference r:id="rId8" w:type="first"/>
          <w:headerReference r:id="rId3" w:type="default"/>
          <w:footerReference r:id="rId6" w:type="default"/>
          <w:headerReference r:id="rId4" w:type="even"/>
          <w:footerReference r:id="rId7" w:type="even"/>
          <w:pgSz w:w="11906" w:h="16838"/>
          <w:pgMar w:top="1134" w:right="1287" w:bottom="1134" w:left="1797" w:header="851" w:footer="992" w:gutter="0"/>
          <w:pgNumType w:fmt="upperRoman" w:start="1"/>
          <w:cols w:space="720" w:num="1"/>
          <w:titlePg/>
          <w:docGrid w:type="lines" w:linePitch="312" w:charSpace="0"/>
        </w:sectPr>
      </w:pPr>
    </w:p>
    <w:p w14:paraId="45AD7359">
      <w:pPr>
        <w:jc w:val="center"/>
        <w:rPr>
          <w:rFonts w:ascii="黑体" w:hAnsi="黑体" w:eastAsia="黑体" w:cs="黑体"/>
          <w:sz w:val="44"/>
          <w:szCs w:val="44"/>
        </w:rPr>
      </w:pPr>
    </w:p>
    <w:p w14:paraId="507C063C">
      <w:pPr>
        <w:jc w:val="center"/>
        <w:rPr>
          <w:rFonts w:ascii="黑体" w:hAnsi="黑体" w:eastAsia="黑体" w:cs="黑体"/>
          <w:sz w:val="44"/>
          <w:szCs w:val="44"/>
        </w:rPr>
      </w:pPr>
      <w:r>
        <w:rPr>
          <w:rFonts w:hint="eastAsia" w:ascii="黑体" w:hAnsi="黑体" w:eastAsia="黑体" w:cs="黑体"/>
          <w:sz w:val="44"/>
          <w:szCs w:val="44"/>
        </w:rPr>
        <w:t>目录</w:t>
      </w:r>
    </w:p>
    <w:p w14:paraId="5FA49729">
      <w:pPr>
        <w:pStyle w:val="11"/>
        <w:tabs>
          <w:tab w:val="right" w:leader="dot" w:pos="8822"/>
        </w:tabs>
      </w:pPr>
      <w:r>
        <w:rPr>
          <w:sz w:val="28"/>
          <w:szCs w:val="28"/>
        </w:rPr>
        <w:fldChar w:fldCharType="begin"/>
      </w:r>
      <w:r>
        <w:rPr>
          <w:sz w:val="28"/>
          <w:szCs w:val="28"/>
        </w:rPr>
        <w:instrText xml:space="preserve"> TOC \o "1-1" \h \z \u </w:instrText>
      </w:r>
      <w:r>
        <w:rPr>
          <w:sz w:val="28"/>
          <w:szCs w:val="28"/>
        </w:rPr>
        <w:fldChar w:fldCharType="separate"/>
      </w:r>
    </w:p>
    <w:p w14:paraId="31DD05FA">
      <w:pPr>
        <w:pStyle w:val="11"/>
        <w:tabs>
          <w:tab w:val="right" w:leader="dot" w:pos="8822"/>
        </w:tabs>
      </w:pPr>
      <w:r>
        <w:fldChar w:fldCharType="begin"/>
      </w:r>
      <w:r>
        <w:instrText xml:space="preserve"> HYPERLINK \l "_Toc30808" </w:instrText>
      </w:r>
      <w:r>
        <w:fldChar w:fldCharType="separate"/>
      </w:r>
      <w:r>
        <w:rPr>
          <w:bCs/>
          <w:szCs w:val="28"/>
        </w:rPr>
        <w:t>一、工作简况</w:t>
      </w:r>
      <w:r>
        <w:tab/>
      </w:r>
      <w:r>
        <w:fldChar w:fldCharType="begin"/>
      </w:r>
      <w:r>
        <w:instrText xml:space="preserve"> PAGEREF _Toc30808 \h </w:instrText>
      </w:r>
      <w:r>
        <w:fldChar w:fldCharType="separate"/>
      </w:r>
      <w:r>
        <w:t>1</w:t>
      </w:r>
      <w:r>
        <w:fldChar w:fldCharType="end"/>
      </w:r>
      <w:r>
        <w:fldChar w:fldCharType="end"/>
      </w:r>
    </w:p>
    <w:p w14:paraId="258D7B75">
      <w:pPr>
        <w:pStyle w:val="11"/>
        <w:tabs>
          <w:tab w:val="right" w:leader="dot" w:pos="8822"/>
        </w:tabs>
      </w:pPr>
      <w:r>
        <w:fldChar w:fldCharType="begin"/>
      </w:r>
      <w:r>
        <w:instrText xml:space="preserve"> HYPERLINK \l "_Toc10286" </w:instrText>
      </w:r>
      <w:r>
        <w:fldChar w:fldCharType="separate"/>
      </w:r>
      <w:r>
        <w:rPr>
          <w:bCs/>
          <w:szCs w:val="28"/>
        </w:rPr>
        <w:t>二、</w:t>
      </w:r>
      <w:r>
        <w:rPr>
          <w:rFonts w:hint="eastAsia"/>
          <w:bCs/>
          <w:szCs w:val="28"/>
        </w:rPr>
        <w:t>行业</w:t>
      </w:r>
      <w:r>
        <w:rPr>
          <w:bCs/>
          <w:szCs w:val="28"/>
        </w:rPr>
        <w:t>标准编制原则、主要内容及其确定依据</w:t>
      </w:r>
      <w:r>
        <w:tab/>
      </w:r>
      <w:r>
        <w:fldChar w:fldCharType="begin"/>
      </w:r>
      <w:r>
        <w:instrText xml:space="preserve"> PAGEREF _Toc10286 \h </w:instrText>
      </w:r>
      <w:r>
        <w:fldChar w:fldCharType="separate"/>
      </w:r>
      <w:r>
        <w:t>3</w:t>
      </w:r>
      <w:r>
        <w:fldChar w:fldCharType="end"/>
      </w:r>
      <w:r>
        <w:fldChar w:fldCharType="end"/>
      </w:r>
    </w:p>
    <w:p w14:paraId="08FDAA4A">
      <w:pPr>
        <w:pStyle w:val="11"/>
        <w:tabs>
          <w:tab w:val="right" w:leader="dot" w:pos="8822"/>
        </w:tabs>
      </w:pPr>
      <w:r>
        <w:fldChar w:fldCharType="begin"/>
      </w:r>
      <w:r>
        <w:instrText xml:space="preserve"> HYPERLINK \l "_Toc7724" </w:instrText>
      </w:r>
      <w:r>
        <w:fldChar w:fldCharType="separate"/>
      </w:r>
      <w:r>
        <w:rPr>
          <w:rFonts w:hint="eastAsia"/>
          <w:bCs/>
          <w:szCs w:val="28"/>
        </w:rPr>
        <w:t>三、</w:t>
      </w:r>
      <w:r>
        <w:rPr>
          <w:bCs/>
          <w:szCs w:val="28"/>
        </w:rPr>
        <w:t>试验验证的分析、综述报告，技术经济论证，预期的经济效益、社会效益和生态效益</w:t>
      </w:r>
      <w:r>
        <w:tab/>
      </w:r>
      <w:r>
        <w:fldChar w:fldCharType="begin"/>
      </w:r>
      <w:r>
        <w:instrText xml:space="preserve"> PAGEREF _Toc7724 \h </w:instrText>
      </w:r>
      <w:r>
        <w:fldChar w:fldCharType="separate"/>
      </w:r>
      <w:r>
        <w:t>6</w:t>
      </w:r>
      <w:r>
        <w:fldChar w:fldCharType="end"/>
      </w:r>
      <w:r>
        <w:fldChar w:fldCharType="end"/>
      </w:r>
    </w:p>
    <w:p w14:paraId="285A58E2">
      <w:pPr>
        <w:pStyle w:val="11"/>
        <w:tabs>
          <w:tab w:val="right" w:leader="dot" w:pos="8822"/>
        </w:tabs>
      </w:pPr>
      <w:r>
        <w:fldChar w:fldCharType="begin"/>
      </w:r>
      <w:r>
        <w:instrText xml:space="preserve"> HYPERLINK \l "_Toc11722" </w:instrText>
      </w:r>
      <w:r>
        <w:fldChar w:fldCharType="separate"/>
      </w:r>
      <w:r>
        <w:rPr>
          <w:rFonts w:hint="eastAsia"/>
          <w:bCs/>
          <w:szCs w:val="28"/>
        </w:rPr>
        <w:t>四、与国际、国外同类标准技术内容的对比情况</w:t>
      </w:r>
      <w:r>
        <w:tab/>
      </w:r>
      <w:r>
        <w:fldChar w:fldCharType="begin"/>
      </w:r>
      <w:r>
        <w:instrText xml:space="preserve"> PAGEREF _Toc11722 \h </w:instrText>
      </w:r>
      <w:r>
        <w:fldChar w:fldCharType="separate"/>
      </w:r>
      <w:r>
        <w:t>6</w:t>
      </w:r>
      <w:r>
        <w:fldChar w:fldCharType="end"/>
      </w:r>
      <w:r>
        <w:fldChar w:fldCharType="end"/>
      </w:r>
    </w:p>
    <w:p w14:paraId="3C573E4C">
      <w:pPr>
        <w:pStyle w:val="11"/>
        <w:tabs>
          <w:tab w:val="right" w:leader="dot" w:pos="8822"/>
        </w:tabs>
      </w:pPr>
      <w:r>
        <w:fldChar w:fldCharType="begin"/>
      </w:r>
      <w:r>
        <w:instrText xml:space="preserve"> HYPERLINK \l "_Toc652" </w:instrText>
      </w:r>
      <w:r>
        <w:fldChar w:fldCharType="separate"/>
      </w:r>
      <w:r>
        <w:rPr>
          <w:rFonts w:hint="eastAsia"/>
          <w:bCs/>
          <w:szCs w:val="28"/>
        </w:rPr>
        <w:t>五、以国际标准为基础的起草情况，以及是否合规引用或者采用国际国外标准，并说明未采用国际标准的原因</w:t>
      </w:r>
      <w:r>
        <w:tab/>
      </w:r>
      <w:r>
        <w:fldChar w:fldCharType="begin"/>
      </w:r>
      <w:r>
        <w:instrText xml:space="preserve"> PAGEREF _Toc652 \h </w:instrText>
      </w:r>
      <w:r>
        <w:fldChar w:fldCharType="separate"/>
      </w:r>
      <w:r>
        <w:t>7</w:t>
      </w:r>
      <w:r>
        <w:fldChar w:fldCharType="end"/>
      </w:r>
      <w:r>
        <w:fldChar w:fldCharType="end"/>
      </w:r>
    </w:p>
    <w:p w14:paraId="0D3ED743">
      <w:pPr>
        <w:pStyle w:val="11"/>
        <w:tabs>
          <w:tab w:val="right" w:leader="dot" w:pos="8822"/>
        </w:tabs>
      </w:pPr>
      <w:r>
        <w:fldChar w:fldCharType="begin"/>
      </w:r>
      <w:r>
        <w:instrText xml:space="preserve"> HYPERLINK \l "_Toc32375" </w:instrText>
      </w:r>
      <w:r>
        <w:fldChar w:fldCharType="separate"/>
      </w:r>
      <w:r>
        <w:rPr>
          <w:rFonts w:hint="eastAsia"/>
          <w:bCs/>
          <w:szCs w:val="28"/>
        </w:rPr>
        <w:t>六、与有关法律、行政法规及相关标准的关系</w:t>
      </w:r>
      <w:r>
        <w:tab/>
      </w:r>
      <w:r>
        <w:fldChar w:fldCharType="begin"/>
      </w:r>
      <w:r>
        <w:instrText xml:space="preserve"> PAGEREF _Toc32375 \h </w:instrText>
      </w:r>
      <w:r>
        <w:fldChar w:fldCharType="separate"/>
      </w:r>
      <w:r>
        <w:t>7</w:t>
      </w:r>
      <w:r>
        <w:fldChar w:fldCharType="end"/>
      </w:r>
      <w:r>
        <w:fldChar w:fldCharType="end"/>
      </w:r>
    </w:p>
    <w:p w14:paraId="74E82304">
      <w:pPr>
        <w:pStyle w:val="11"/>
        <w:tabs>
          <w:tab w:val="right" w:leader="dot" w:pos="8822"/>
        </w:tabs>
      </w:pPr>
      <w:r>
        <w:fldChar w:fldCharType="begin"/>
      </w:r>
      <w:r>
        <w:instrText xml:space="preserve"> HYPERLINK \l "_Toc6925" </w:instrText>
      </w:r>
      <w:r>
        <w:fldChar w:fldCharType="separate"/>
      </w:r>
      <w:r>
        <w:rPr>
          <w:rFonts w:hint="eastAsia"/>
          <w:bCs/>
          <w:szCs w:val="28"/>
        </w:rPr>
        <w:t>七、重大分歧意见的处理经过和依据</w:t>
      </w:r>
      <w:r>
        <w:tab/>
      </w:r>
      <w:r>
        <w:fldChar w:fldCharType="begin"/>
      </w:r>
      <w:r>
        <w:instrText xml:space="preserve"> PAGEREF _Toc6925 \h </w:instrText>
      </w:r>
      <w:r>
        <w:fldChar w:fldCharType="separate"/>
      </w:r>
      <w:r>
        <w:t>7</w:t>
      </w:r>
      <w:r>
        <w:fldChar w:fldCharType="end"/>
      </w:r>
      <w:r>
        <w:fldChar w:fldCharType="end"/>
      </w:r>
    </w:p>
    <w:p w14:paraId="23FA9E93">
      <w:pPr>
        <w:pStyle w:val="11"/>
        <w:tabs>
          <w:tab w:val="right" w:leader="dot" w:pos="8822"/>
        </w:tabs>
      </w:pPr>
      <w:r>
        <w:fldChar w:fldCharType="begin"/>
      </w:r>
      <w:r>
        <w:instrText xml:space="preserve"> HYPERLINK \l "_Toc22391" </w:instrText>
      </w:r>
      <w:r>
        <w:fldChar w:fldCharType="separate"/>
      </w:r>
      <w:r>
        <w:rPr>
          <w:rFonts w:hint="eastAsia"/>
          <w:bCs/>
          <w:szCs w:val="28"/>
        </w:rPr>
        <w:t>八、涉及专利的有关说明</w:t>
      </w:r>
      <w:r>
        <w:tab/>
      </w:r>
      <w:r>
        <w:fldChar w:fldCharType="begin"/>
      </w:r>
      <w:r>
        <w:instrText xml:space="preserve"> PAGEREF _Toc22391 \h </w:instrText>
      </w:r>
      <w:r>
        <w:fldChar w:fldCharType="separate"/>
      </w:r>
      <w:r>
        <w:t>7</w:t>
      </w:r>
      <w:r>
        <w:fldChar w:fldCharType="end"/>
      </w:r>
      <w:r>
        <w:fldChar w:fldCharType="end"/>
      </w:r>
    </w:p>
    <w:p w14:paraId="6668AA23">
      <w:pPr>
        <w:pStyle w:val="11"/>
        <w:tabs>
          <w:tab w:val="right" w:leader="dot" w:pos="8822"/>
        </w:tabs>
      </w:pPr>
      <w:r>
        <w:fldChar w:fldCharType="begin"/>
      </w:r>
      <w:r>
        <w:instrText xml:space="preserve"> HYPERLINK \l "_Toc24313" </w:instrText>
      </w:r>
      <w:r>
        <w:fldChar w:fldCharType="separate"/>
      </w:r>
      <w:r>
        <w:rPr>
          <w:rFonts w:hint="eastAsia"/>
          <w:bCs/>
          <w:szCs w:val="28"/>
        </w:rPr>
        <w:t>九、实施国家标准的要求，以及组织措施、技术措施、过渡期和实施日期的建议等措施建议</w:t>
      </w:r>
      <w:r>
        <w:tab/>
      </w:r>
      <w:r>
        <w:fldChar w:fldCharType="begin"/>
      </w:r>
      <w:r>
        <w:instrText xml:space="preserve"> PAGEREF _Toc24313 \h </w:instrText>
      </w:r>
      <w:r>
        <w:fldChar w:fldCharType="separate"/>
      </w:r>
      <w:r>
        <w:t>7</w:t>
      </w:r>
      <w:r>
        <w:fldChar w:fldCharType="end"/>
      </w:r>
      <w:r>
        <w:fldChar w:fldCharType="end"/>
      </w:r>
    </w:p>
    <w:p w14:paraId="78F0AF72">
      <w:pPr>
        <w:pStyle w:val="11"/>
        <w:tabs>
          <w:tab w:val="right" w:leader="dot" w:pos="8822"/>
        </w:tabs>
      </w:pPr>
      <w:r>
        <w:fldChar w:fldCharType="begin"/>
      </w:r>
      <w:r>
        <w:instrText xml:space="preserve"> HYPERLINK \l "_Toc15310" </w:instrText>
      </w:r>
      <w:r>
        <w:fldChar w:fldCharType="separate"/>
      </w:r>
      <w:r>
        <w:rPr>
          <w:rFonts w:hint="eastAsia"/>
          <w:bCs/>
          <w:szCs w:val="28"/>
        </w:rPr>
        <w:t>十、其他应当说明的事项</w:t>
      </w:r>
      <w:r>
        <w:tab/>
      </w:r>
      <w:r>
        <w:fldChar w:fldCharType="begin"/>
      </w:r>
      <w:r>
        <w:instrText xml:space="preserve"> PAGEREF _Toc15310 \h </w:instrText>
      </w:r>
      <w:r>
        <w:fldChar w:fldCharType="separate"/>
      </w:r>
      <w:r>
        <w:t>7</w:t>
      </w:r>
      <w:r>
        <w:fldChar w:fldCharType="end"/>
      </w:r>
      <w:r>
        <w:fldChar w:fldCharType="end"/>
      </w:r>
    </w:p>
    <w:p w14:paraId="460F5369">
      <w:pPr>
        <w:pStyle w:val="11"/>
        <w:widowControl/>
        <w:tabs>
          <w:tab w:val="right" w:leader="dot" w:pos="8306"/>
        </w:tabs>
        <w:rPr>
          <w:rFonts w:ascii="宋体" w:hAnsi="宋体"/>
          <w:b/>
          <w:sz w:val="30"/>
          <w:szCs w:val="30"/>
        </w:rPr>
      </w:pPr>
      <w:r>
        <w:rPr>
          <w:szCs w:val="28"/>
        </w:rPr>
        <w:fldChar w:fldCharType="end"/>
      </w:r>
    </w:p>
    <w:p w14:paraId="271FE242">
      <w:pPr>
        <w:jc w:val="center"/>
        <w:rPr>
          <w:rFonts w:ascii="宋体" w:hAnsi="宋体"/>
          <w:b/>
          <w:sz w:val="30"/>
          <w:szCs w:val="30"/>
        </w:rPr>
      </w:pPr>
    </w:p>
    <w:p w14:paraId="78AD81EF">
      <w:pPr>
        <w:jc w:val="center"/>
        <w:rPr>
          <w:rFonts w:ascii="宋体" w:hAnsi="宋体"/>
          <w:b/>
          <w:sz w:val="30"/>
          <w:szCs w:val="30"/>
        </w:rPr>
      </w:pPr>
    </w:p>
    <w:p w14:paraId="3BF8708E">
      <w:pPr>
        <w:jc w:val="center"/>
        <w:rPr>
          <w:rFonts w:ascii="宋体" w:hAnsi="宋体"/>
          <w:b/>
          <w:sz w:val="30"/>
          <w:szCs w:val="30"/>
        </w:rPr>
      </w:pPr>
    </w:p>
    <w:p w14:paraId="2E16AC6E">
      <w:pPr>
        <w:jc w:val="center"/>
        <w:rPr>
          <w:rFonts w:ascii="宋体" w:hAnsi="宋体"/>
          <w:b/>
          <w:sz w:val="30"/>
          <w:szCs w:val="30"/>
        </w:rPr>
      </w:pPr>
    </w:p>
    <w:p w14:paraId="296F0AD5">
      <w:pPr>
        <w:jc w:val="center"/>
        <w:rPr>
          <w:rFonts w:ascii="宋体" w:hAnsi="宋体"/>
          <w:b/>
          <w:sz w:val="30"/>
          <w:szCs w:val="30"/>
        </w:rPr>
      </w:pPr>
    </w:p>
    <w:p w14:paraId="2BD334CF">
      <w:pPr>
        <w:jc w:val="center"/>
        <w:rPr>
          <w:rFonts w:ascii="宋体" w:hAnsi="宋体"/>
          <w:b/>
          <w:sz w:val="30"/>
          <w:szCs w:val="30"/>
        </w:rPr>
      </w:pPr>
    </w:p>
    <w:p w14:paraId="66DA09C3">
      <w:pPr>
        <w:jc w:val="center"/>
        <w:rPr>
          <w:rFonts w:ascii="宋体" w:hAnsi="宋体"/>
          <w:b/>
          <w:sz w:val="32"/>
          <w:szCs w:val="32"/>
        </w:rPr>
        <w:sectPr>
          <w:pgSz w:w="11906" w:h="16838"/>
          <w:pgMar w:top="1134" w:right="1287" w:bottom="1134" w:left="1797" w:header="851" w:footer="992" w:gutter="0"/>
          <w:pgNumType w:fmt="upperRoman" w:start="1"/>
          <w:cols w:space="720" w:num="1"/>
          <w:docGrid w:type="lines" w:linePitch="312" w:charSpace="0"/>
        </w:sectPr>
      </w:pPr>
    </w:p>
    <w:p w14:paraId="22D41CCD">
      <w:pPr>
        <w:pStyle w:val="37"/>
        <w:framePr w:w="0" w:h="1367" w:hRule="exact" w:wrap="auto" w:hAnchor="text" w:xAlign="left" w:yAlign="inline"/>
        <w:spacing w:line="480" w:lineRule="auto"/>
        <w:rPr>
          <w:rFonts w:ascii="方正小标宋简体" w:hAnsi="方正小标宋简体" w:eastAsia="方正小标宋简体" w:cs="方正小标宋简体"/>
          <w:sz w:val="36"/>
          <w:szCs w:val="36"/>
        </w:rPr>
      </w:pPr>
      <w:bookmarkStart w:id="10" w:name="_Toc320021798"/>
      <w:r>
        <w:rPr>
          <w:rFonts w:hint="eastAsia" w:ascii="方正小标宋简体" w:hAnsi="方正小标宋简体" w:eastAsia="方正小标宋简体" w:cs="方正小标宋简体"/>
          <w:sz w:val="36"/>
          <w:szCs w:val="36"/>
        </w:rPr>
        <w:t>《智慧农资连锁网点建设与管理规范》</w:t>
      </w:r>
    </w:p>
    <w:p w14:paraId="29AD1BE3">
      <w:pPr>
        <w:pStyle w:val="37"/>
        <w:framePr w:w="0" w:h="1367" w:hRule="exact" w:wrap="auto" w:hAnchor="text" w:xAlign="left" w:yAlign="inline"/>
        <w:spacing w:line="480" w:lineRule="auto"/>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供销合作行业标准（第二次征求意见稿）编制说明</w:t>
      </w:r>
    </w:p>
    <w:p w14:paraId="28460409">
      <w:pPr>
        <w:spacing w:line="480" w:lineRule="exact"/>
        <w:ind w:firstLine="422" w:firstLineChars="200"/>
        <w:rPr>
          <w:b/>
          <w:bCs/>
          <w:szCs w:val="28"/>
        </w:rPr>
      </w:pPr>
    </w:p>
    <w:p w14:paraId="4FAE5FCF">
      <w:pPr>
        <w:widowControl/>
        <w:spacing w:line="480" w:lineRule="exact"/>
        <w:ind w:firstLine="422" w:firstLineChars="200"/>
        <w:outlineLvl w:val="0"/>
        <w:rPr>
          <w:b/>
          <w:bCs/>
          <w:szCs w:val="28"/>
        </w:rPr>
      </w:pPr>
      <w:bookmarkStart w:id="11" w:name="_Toc17929"/>
      <w:bookmarkStart w:id="12" w:name="_Toc30808"/>
      <w:bookmarkStart w:id="13" w:name="_Toc21608"/>
      <w:bookmarkStart w:id="14" w:name="_Toc12901"/>
      <w:bookmarkStart w:id="15" w:name="_Toc32744"/>
      <w:bookmarkStart w:id="16" w:name="_Toc13191"/>
      <w:r>
        <w:rPr>
          <w:b/>
          <w:bCs/>
          <w:szCs w:val="28"/>
        </w:rPr>
        <w:t>一、工作简况</w:t>
      </w:r>
      <w:bookmarkEnd w:id="11"/>
      <w:bookmarkEnd w:id="12"/>
      <w:bookmarkEnd w:id="13"/>
    </w:p>
    <w:p w14:paraId="10274A70">
      <w:pPr>
        <w:widowControl/>
        <w:spacing w:line="480" w:lineRule="exact"/>
        <w:ind w:firstLine="422" w:firstLineChars="200"/>
        <w:outlineLvl w:val="0"/>
        <w:rPr>
          <w:b/>
          <w:bCs/>
          <w:szCs w:val="28"/>
        </w:rPr>
      </w:pPr>
      <w:bookmarkStart w:id="17" w:name="_Toc27913"/>
      <w:bookmarkStart w:id="18" w:name="_Toc28217"/>
      <w:bookmarkStart w:id="19" w:name="_Toc16837"/>
      <w:r>
        <w:rPr>
          <w:rFonts w:hint="eastAsia"/>
          <w:b/>
          <w:bCs/>
          <w:szCs w:val="28"/>
        </w:rPr>
        <w:t>（一）任务来源</w:t>
      </w:r>
      <w:bookmarkEnd w:id="10"/>
      <w:bookmarkEnd w:id="14"/>
      <w:bookmarkEnd w:id="15"/>
      <w:bookmarkEnd w:id="16"/>
      <w:bookmarkEnd w:id="17"/>
      <w:bookmarkEnd w:id="18"/>
      <w:bookmarkEnd w:id="19"/>
    </w:p>
    <w:p w14:paraId="3F0661BB">
      <w:pPr>
        <w:widowControl/>
        <w:spacing w:line="480" w:lineRule="exact"/>
        <w:ind w:firstLine="420" w:firstLineChars="200"/>
        <w:rPr>
          <w:rFonts w:cs="仿宋"/>
          <w:szCs w:val="28"/>
        </w:rPr>
      </w:pPr>
      <w:r>
        <w:rPr>
          <w:rFonts w:hint="eastAsia" w:cs="仿宋"/>
          <w:szCs w:val="28"/>
        </w:rPr>
        <w:t>本供销合作行业标准制定工作来源于中华全国供销合作总社办公厅2020年度第一批供销合作行业标准项目计划下达的《智慧农资连锁网点建设与管理规范》供销合作行业标准项目，项目计划编号为2020GH-ZD-03。本标准项目是由中国农业生产资料流通协会提出并归口，由中国农业生产资料流通协会、中国科学院合肥物质科学研究院、中科合肥技术创新工程院、安徽省质量和标准化研究院、安徽省农业信息中心、安徽农业大学共同组织起草编制。本标准是新制定的推荐性供销合作行业标准。</w:t>
      </w:r>
    </w:p>
    <w:p w14:paraId="1C5EDE88">
      <w:pPr>
        <w:widowControl/>
        <w:spacing w:line="480" w:lineRule="exact"/>
        <w:ind w:firstLine="422" w:firstLineChars="200"/>
        <w:outlineLvl w:val="0"/>
        <w:rPr>
          <w:b/>
          <w:bCs/>
          <w:szCs w:val="28"/>
        </w:rPr>
      </w:pPr>
      <w:bookmarkStart w:id="20" w:name="_Toc21773"/>
      <w:bookmarkStart w:id="21" w:name="_Toc320021799"/>
      <w:bookmarkStart w:id="22" w:name="_Toc1676"/>
      <w:bookmarkStart w:id="23" w:name="_Toc3995"/>
      <w:bookmarkStart w:id="24" w:name="_Toc2956"/>
      <w:bookmarkStart w:id="25" w:name="_Toc16956"/>
      <w:bookmarkStart w:id="26" w:name="_Toc16107"/>
      <w:r>
        <w:rPr>
          <w:rFonts w:hint="eastAsia"/>
          <w:b/>
          <w:bCs/>
          <w:szCs w:val="28"/>
        </w:rPr>
        <w:t>（二）制定</w:t>
      </w:r>
      <w:bookmarkEnd w:id="20"/>
      <w:bookmarkEnd w:id="21"/>
      <w:r>
        <w:rPr>
          <w:rFonts w:hint="eastAsia"/>
          <w:b/>
          <w:bCs/>
          <w:szCs w:val="28"/>
        </w:rPr>
        <w:t>背景</w:t>
      </w:r>
      <w:bookmarkEnd w:id="22"/>
      <w:bookmarkEnd w:id="23"/>
      <w:bookmarkEnd w:id="24"/>
      <w:bookmarkEnd w:id="25"/>
      <w:bookmarkEnd w:id="26"/>
    </w:p>
    <w:p w14:paraId="39BA93CB">
      <w:pPr>
        <w:widowControl/>
        <w:spacing w:line="480" w:lineRule="exact"/>
        <w:ind w:firstLine="420" w:firstLineChars="200"/>
        <w:rPr>
          <w:rFonts w:cs="仿宋"/>
          <w:szCs w:val="28"/>
        </w:rPr>
      </w:pPr>
      <w:r>
        <w:rPr>
          <w:rFonts w:hint="eastAsia" w:cs="仿宋"/>
          <w:szCs w:val="28"/>
        </w:rPr>
        <w:t>当前，我国农资流通行业正处于从传统经营模式向现代化、智能化服务模式转型的关键阶段。作为服务农业的重要载体，农资连锁网点在数字化转型、服务升级与管理创新等方面面临迫切需求。然而，从行业实际发展情况来看，多数网点仍存在设施设备落后、信息化水平不高、服务标准不统一、管理粗放等问题，严重制约了农资流通效率与服务质量的提升。随着数字经济快速发展，推进智慧农资建设已成为推动农资行业高质量发展的必由之路，而标准化工作则是支撑该进程的重要基础。</w:t>
      </w:r>
    </w:p>
    <w:p w14:paraId="27AAE7D9">
      <w:pPr>
        <w:widowControl/>
        <w:spacing w:line="480" w:lineRule="exact"/>
        <w:ind w:firstLine="420" w:firstLineChars="200"/>
        <w:rPr>
          <w:rFonts w:cs="仿宋"/>
          <w:szCs w:val="28"/>
        </w:rPr>
      </w:pPr>
      <w:r>
        <w:rPr>
          <w:rFonts w:hint="eastAsia" w:cs="仿宋"/>
          <w:szCs w:val="28"/>
        </w:rPr>
        <w:t>近年来，国家持续推动农资流通体系现代化建设，中华全国供销合作总社等相关部门也多次发文鼓励发展农资连锁经营，倡导通过统一管理与规范运营，提升农资流通效率与安全性。尽管农资连锁经营在我国已有多年发展基础，但由于缺乏统一、规范的技术标准与管理指南，不同地区和企业之间的网点在建设水平、服务能力与管理效能方面差异显著。标准化建设的缺失不仅导致资源浪费，也制约了农资流通整体效率与服务质量的持续提升。</w:t>
      </w:r>
    </w:p>
    <w:p w14:paraId="47F314BD">
      <w:pPr>
        <w:widowControl/>
        <w:spacing w:line="480" w:lineRule="exact"/>
        <w:ind w:firstLine="420" w:firstLineChars="200"/>
        <w:rPr>
          <w:rFonts w:cs="仿宋"/>
          <w:szCs w:val="28"/>
        </w:rPr>
      </w:pPr>
      <w:r>
        <w:rPr>
          <w:rFonts w:hint="eastAsia" w:cs="仿宋"/>
          <w:szCs w:val="28"/>
        </w:rPr>
        <w:t>目前，国内外尚未形成系统性的智慧农资连锁网点建设与管理标准。现有标准多聚焦于特定环节或单项技术，未能从连锁网点智慧化建设的整体运营与管理层面进行全面规范。因此，制定专门针对智慧农资连锁网点的建设与管理规范，填补该领域的标准空白，已成为推动行业规范化、智能化发展的迫切任务。</w:t>
      </w:r>
    </w:p>
    <w:p w14:paraId="596AFF71">
      <w:pPr>
        <w:widowControl/>
        <w:spacing w:line="480" w:lineRule="exact"/>
        <w:ind w:firstLine="420" w:firstLineChars="200"/>
        <w:rPr>
          <w:rFonts w:cs="仿宋"/>
          <w:szCs w:val="28"/>
        </w:rPr>
      </w:pPr>
      <w:r>
        <w:rPr>
          <w:rFonts w:hint="eastAsia" w:cs="仿宋"/>
          <w:szCs w:val="28"/>
        </w:rPr>
        <w:t>本标准的制定，将为农资连锁网点的信息化与智能化建设提供系统性支撑与指导，有助于实现农资购销存等关键数据在连锁经营各环节的互联共享，全面提升网点运营效率、管理水平和综合服务能力，推动农资经营网点由单一的“卖农资”向“卖服务+卖农资”协同发展转型，促进行业实现高质量、可持续发展。</w:t>
      </w:r>
    </w:p>
    <w:p w14:paraId="5D379A2F">
      <w:pPr>
        <w:spacing w:line="480" w:lineRule="exact"/>
        <w:ind w:firstLine="422" w:firstLineChars="200"/>
        <w:outlineLvl w:val="1"/>
        <w:rPr>
          <w:b/>
          <w:bCs/>
          <w:szCs w:val="28"/>
        </w:rPr>
      </w:pPr>
      <w:r>
        <w:rPr>
          <w:rFonts w:hint="eastAsia"/>
          <w:b/>
          <w:bCs/>
          <w:szCs w:val="28"/>
        </w:rPr>
        <w:t>（三）标准编制的目的和意义</w:t>
      </w:r>
    </w:p>
    <w:p w14:paraId="558E70AE">
      <w:pPr>
        <w:widowControl/>
        <w:spacing w:line="480" w:lineRule="exact"/>
        <w:ind w:firstLine="422" w:firstLineChars="200"/>
        <w:rPr>
          <w:rFonts w:cs="仿宋"/>
          <w:szCs w:val="28"/>
        </w:rPr>
      </w:pPr>
      <w:r>
        <w:rPr>
          <w:rFonts w:hint="eastAsia" w:cs="仿宋"/>
          <w:b/>
          <w:bCs/>
          <w:szCs w:val="28"/>
        </w:rPr>
        <w:t>1.推动农资连锁经营数字化转型与智能化升级。</w:t>
      </w:r>
      <w:r>
        <w:rPr>
          <w:rFonts w:hint="eastAsia" w:cs="仿宋"/>
          <w:szCs w:val="28"/>
        </w:rPr>
        <w:t>该标准的制定，一方面将为农资连锁网点智能化建设提供全面技术指导，明确智慧农资连锁网点在基础设施、硬件设备、信息系统等方面的要求，引导传统农资网点向数字化、智能化方向升级改造。通过统一技术规范和管理要求，避免重复投资和资源浪费，提高转型升级的效率与效果。另一方面，鼓励和规范物联网、大数据、云计算等</w:t>
      </w:r>
      <w:r>
        <w:rPr>
          <w:rFonts w:hint="eastAsia" w:cs="仿宋"/>
          <w:color w:val="0F1115"/>
          <w:szCs w:val="28"/>
          <w:shd w:val="clear" w:color="auto" w:fill="FFFFFF"/>
        </w:rPr>
        <w:t>现代信息技术</w:t>
      </w:r>
      <w:r>
        <w:rPr>
          <w:rFonts w:hint="eastAsia" w:cs="仿宋"/>
          <w:szCs w:val="28"/>
        </w:rPr>
        <w:t>在农资连锁经营中的应用，推动农资网点从传统经营场所向智能化、多功能为农服务中心转变，实现经营决策数据化、服务过程可视化、管理操作智能化。</w:t>
      </w:r>
    </w:p>
    <w:p w14:paraId="762B1D8B">
      <w:pPr>
        <w:spacing w:line="480" w:lineRule="exact"/>
        <w:ind w:firstLine="422" w:firstLineChars="200"/>
        <w:rPr>
          <w:rFonts w:cs="仿宋"/>
          <w:szCs w:val="28"/>
        </w:rPr>
      </w:pPr>
      <w:r>
        <w:rPr>
          <w:rFonts w:hint="eastAsia" w:cs="仿宋"/>
          <w:b/>
          <w:bCs/>
          <w:szCs w:val="28"/>
        </w:rPr>
        <w:t>2.提升为农服务综合能力与服务质量。</w:t>
      </w:r>
      <w:r>
        <w:rPr>
          <w:rFonts w:hint="eastAsia" w:cs="仿宋"/>
          <w:szCs w:val="28"/>
        </w:rPr>
        <w:t>本标准将规范农资连锁网点的服务内容、服务流程和服务标准，引导网点建立健全服务制度，完善服务功能，提升服务质量。通过标准化、规范化的服务管理，增强用户体验，提高农民满意度，有助于培育一批</w:t>
      </w:r>
      <w:r>
        <w:rPr>
          <w:rFonts w:hint="eastAsia" w:cs="仿宋"/>
          <w:color w:val="0F1115"/>
          <w:szCs w:val="28"/>
          <w:shd w:val="clear" w:color="auto" w:fill="FFFFFF"/>
        </w:rPr>
        <w:t>服务品质优良</w:t>
      </w:r>
      <w:r>
        <w:rPr>
          <w:rFonts w:hint="eastAsia" w:cs="仿宋"/>
          <w:szCs w:val="28"/>
        </w:rPr>
        <w:t>、</w:t>
      </w:r>
      <w:r>
        <w:rPr>
          <w:rFonts w:hint="eastAsia" w:cs="仿宋"/>
          <w:color w:val="0F1115"/>
          <w:szCs w:val="28"/>
          <w:shd w:val="clear" w:color="auto" w:fill="FFFFFF"/>
        </w:rPr>
        <w:t>社会口碑良好</w:t>
      </w:r>
      <w:r>
        <w:rPr>
          <w:rFonts w:hint="eastAsia" w:cs="仿宋"/>
          <w:szCs w:val="28"/>
        </w:rPr>
        <w:t>的智慧农资服务品牌，提升农资行业整体形象和社会公信力，助力供销合作社企业成为为农服务的重要窗口和品牌形象展示阵地。</w:t>
      </w:r>
    </w:p>
    <w:p w14:paraId="6B099AA4">
      <w:pPr>
        <w:spacing w:line="480" w:lineRule="exact"/>
        <w:ind w:firstLine="422" w:firstLineChars="200"/>
        <w:rPr>
          <w:rFonts w:ascii="Segoe UI" w:hAnsi="Segoe UI" w:eastAsia="Segoe UI" w:cs="Segoe UI"/>
          <w:color w:val="0F1115"/>
          <w:sz w:val="24"/>
          <w:shd w:val="clear" w:color="auto" w:fill="FFFFFF"/>
        </w:rPr>
      </w:pPr>
      <w:r>
        <w:rPr>
          <w:rFonts w:hint="eastAsia" w:cs="仿宋"/>
          <w:b/>
          <w:bCs/>
          <w:szCs w:val="28"/>
        </w:rPr>
        <w:t>3.促进农资行业降本增效与绿色发展。</w:t>
      </w:r>
      <w:r>
        <w:rPr>
          <w:rFonts w:hint="eastAsia" w:cs="仿宋"/>
          <w:szCs w:val="28"/>
        </w:rPr>
        <w:t>标准将鼓励智慧农资连锁网点实施绿色经营策略，推广高效、环保、绿色农资产品，通过提供信息化服务，引导农民科学用药、合理施肥，进一步减少农业面源污染治理，助力农业绿色发展。</w:t>
      </w:r>
    </w:p>
    <w:p w14:paraId="2CFE4832">
      <w:pPr>
        <w:widowControl/>
        <w:spacing w:line="480" w:lineRule="exact"/>
        <w:ind w:firstLine="422" w:firstLineChars="200"/>
        <w:outlineLvl w:val="0"/>
        <w:rPr>
          <w:b/>
          <w:bCs/>
          <w:szCs w:val="28"/>
        </w:rPr>
      </w:pPr>
      <w:bookmarkStart w:id="27" w:name="_Toc2200"/>
      <w:bookmarkStart w:id="28" w:name="_Toc16261"/>
      <w:bookmarkStart w:id="29" w:name="_Toc17539"/>
      <w:bookmarkStart w:id="30" w:name="_Toc6278"/>
      <w:bookmarkStart w:id="31" w:name="_Toc1195"/>
      <w:bookmarkStart w:id="32" w:name="_Toc10473"/>
      <w:bookmarkStart w:id="33" w:name="_Toc30512"/>
      <w:bookmarkStart w:id="34" w:name="_Toc11169"/>
      <w:bookmarkStart w:id="35" w:name="_Toc10824"/>
      <w:r>
        <w:rPr>
          <w:rFonts w:hint="eastAsia"/>
          <w:b/>
          <w:bCs/>
          <w:szCs w:val="28"/>
        </w:rPr>
        <w:t>（四）起草过程</w:t>
      </w:r>
      <w:bookmarkEnd w:id="27"/>
      <w:bookmarkEnd w:id="28"/>
      <w:bookmarkEnd w:id="29"/>
    </w:p>
    <w:p w14:paraId="4CB916C0">
      <w:pPr>
        <w:widowControl/>
        <w:spacing w:line="480" w:lineRule="exact"/>
        <w:ind w:firstLine="422" w:firstLineChars="200"/>
        <w:outlineLvl w:val="1"/>
        <w:rPr>
          <w:b/>
          <w:bCs/>
          <w:szCs w:val="28"/>
        </w:rPr>
      </w:pPr>
      <w:r>
        <w:rPr>
          <w:rFonts w:hint="eastAsia"/>
          <w:b/>
          <w:bCs/>
          <w:szCs w:val="28"/>
        </w:rPr>
        <w:t>1.成立标准编制组</w:t>
      </w:r>
    </w:p>
    <w:p w14:paraId="37CA98E4">
      <w:pPr>
        <w:widowControl/>
        <w:numPr>
          <w:ilvl w:val="255"/>
          <w:numId w:val="0"/>
        </w:numPr>
        <w:spacing w:line="480" w:lineRule="exact"/>
        <w:ind w:firstLine="420" w:firstLineChars="200"/>
        <w:jc w:val="left"/>
        <w:rPr>
          <w:rFonts w:cs="仿宋"/>
          <w:szCs w:val="28"/>
        </w:rPr>
      </w:pPr>
      <w:r>
        <w:rPr>
          <w:rFonts w:hint="eastAsia" w:cs="仿宋"/>
          <w:szCs w:val="28"/>
        </w:rPr>
        <w:t>2020年，《中华全国供销合作总社办公厅关于下达2020年度供销合作行业标准项目计划（第一批）的通知》（供销厅函科社字〔2020〕50号）印发后，中国农资流通协会作为该标准的主要承担单位，高度重视编制工作，与中国科学院合肥物质科学研究院、中科合肥技术创新工程院、安徽省质量和标准化研究院、安徽省农业信息中心、安徽农业大学等共同组成起草单位，于2020年8月成立了《智慧农资连锁网点建设与管理规范》供销合作行业标准编制工作组，正式开始该标准草案的研究和编制工作。2020年9月，编制组召开项目编制工作启动会，进一步明确了内部分工，制定了工作计划。</w:t>
      </w:r>
    </w:p>
    <w:p w14:paraId="5B53395D">
      <w:pPr>
        <w:widowControl/>
        <w:spacing w:line="480" w:lineRule="exact"/>
        <w:ind w:firstLine="422" w:firstLineChars="200"/>
        <w:outlineLvl w:val="1"/>
        <w:rPr>
          <w:b/>
          <w:bCs/>
          <w:szCs w:val="28"/>
        </w:rPr>
      </w:pPr>
      <w:r>
        <w:rPr>
          <w:rFonts w:hint="eastAsia"/>
          <w:b/>
          <w:bCs/>
          <w:szCs w:val="28"/>
        </w:rPr>
        <w:t>2.资料收集</w:t>
      </w:r>
    </w:p>
    <w:p w14:paraId="512462BB">
      <w:pPr>
        <w:widowControl/>
        <w:numPr>
          <w:ilvl w:val="255"/>
          <w:numId w:val="0"/>
        </w:numPr>
        <w:spacing w:line="480" w:lineRule="exact"/>
        <w:ind w:firstLine="420" w:firstLineChars="200"/>
        <w:jc w:val="left"/>
        <w:rPr>
          <w:rFonts w:cs="仿宋"/>
          <w:szCs w:val="28"/>
        </w:rPr>
      </w:pPr>
      <w:r>
        <w:rPr>
          <w:rFonts w:hint="eastAsia" w:cs="仿宋"/>
          <w:szCs w:val="28"/>
        </w:rPr>
        <w:t>编制组在标准草案编制过程中，对智慧农资连锁网点建设及管理的有关文件、资料进行了系统收集。这些资料包括：国务院相关部门发布的智慧农资连锁网点、智慧农资建设的相关政策、法律法规要求，国家和有关行业颁布的相关标准和规定等。同时对上述要求、规定和理论成果进行了系统分析和研究。</w:t>
      </w:r>
    </w:p>
    <w:p w14:paraId="130A7BEC">
      <w:pPr>
        <w:widowControl/>
        <w:spacing w:line="480" w:lineRule="exact"/>
        <w:ind w:firstLine="422" w:firstLineChars="200"/>
        <w:outlineLvl w:val="1"/>
        <w:rPr>
          <w:b/>
          <w:bCs/>
          <w:szCs w:val="28"/>
        </w:rPr>
      </w:pPr>
      <w:r>
        <w:rPr>
          <w:rFonts w:hint="eastAsia"/>
          <w:b/>
          <w:bCs/>
          <w:szCs w:val="28"/>
        </w:rPr>
        <w:t>3.调查研究</w:t>
      </w:r>
    </w:p>
    <w:p w14:paraId="7C4F6F6A">
      <w:pPr>
        <w:widowControl/>
        <w:numPr>
          <w:ilvl w:val="255"/>
          <w:numId w:val="0"/>
        </w:numPr>
        <w:spacing w:line="480" w:lineRule="exact"/>
        <w:ind w:firstLine="420" w:firstLineChars="200"/>
        <w:jc w:val="left"/>
        <w:rPr>
          <w:rFonts w:cs="仿宋"/>
          <w:szCs w:val="28"/>
        </w:rPr>
      </w:pPr>
      <w:r>
        <w:rPr>
          <w:rFonts w:hint="eastAsia" w:cs="仿宋"/>
          <w:szCs w:val="28"/>
        </w:rPr>
        <w:t>为使标准的编制内容更加符合当前行业发展的实际要求，项目组按照工作计划开展了大量调研。先后到浙江、吉林、安徽、江苏、重庆等地详细调研，通过实地走访、召开座谈会、发放问卷等方式，对其智慧农资连锁网点建设及管理的应用情况、存在问题及需求等情况进行调研和总结，为标准初稿的起草提供了坚实的实践基础。</w:t>
      </w:r>
    </w:p>
    <w:p w14:paraId="03B1D973">
      <w:pPr>
        <w:widowControl/>
        <w:spacing w:line="480" w:lineRule="exact"/>
        <w:ind w:firstLine="422" w:firstLineChars="200"/>
        <w:outlineLvl w:val="1"/>
        <w:rPr>
          <w:b/>
          <w:bCs/>
          <w:szCs w:val="28"/>
        </w:rPr>
      </w:pPr>
      <w:r>
        <w:rPr>
          <w:rFonts w:hint="eastAsia"/>
          <w:b/>
          <w:bCs/>
          <w:szCs w:val="28"/>
        </w:rPr>
        <w:t>4.编写标准文本</w:t>
      </w:r>
    </w:p>
    <w:p w14:paraId="69C963B6">
      <w:pPr>
        <w:widowControl/>
        <w:numPr>
          <w:ilvl w:val="255"/>
          <w:numId w:val="0"/>
        </w:numPr>
        <w:spacing w:line="480" w:lineRule="exact"/>
        <w:ind w:firstLine="420" w:firstLineChars="200"/>
        <w:jc w:val="left"/>
        <w:rPr>
          <w:rFonts w:cs="仿宋"/>
          <w:szCs w:val="28"/>
        </w:rPr>
      </w:pPr>
      <w:r>
        <w:rPr>
          <w:rFonts w:hint="eastAsia" w:cs="仿宋"/>
          <w:szCs w:val="28"/>
        </w:rPr>
        <w:t>经编制单位共同努力，于2022年形成《智慧农资连锁网点建设与管理规范（征求意见稿）》。</w:t>
      </w:r>
    </w:p>
    <w:p w14:paraId="62EA10C3">
      <w:pPr>
        <w:widowControl/>
        <w:numPr>
          <w:ilvl w:val="255"/>
          <w:numId w:val="0"/>
        </w:numPr>
        <w:spacing w:line="480" w:lineRule="exact"/>
        <w:ind w:firstLine="422" w:firstLineChars="200"/>
        <w:jc w:val="left"/>
        <w:rPr>
          <w:b/>
          <w:bCs/>
          <w:szCs w:val="28"/>
        </w:rPr>
      </w:pPr>
      <w:r>
        <w:rPr>
          <w:rFonts w:hint="eastAsia"/>
          <w:b/>
          <w:bCs/>
          <w:szCs w:val="28"/>
        </w:rPr>
        <w:t>5.调研及标准文本的修改完善</w:t>
      </w:r>
    </w:p>
    <w:p w14:paraId="367D4AEF">
      <w:pPr>
        <w:widowControl/>
        <w:numPr>
          <w:ilvl w:val="255"/>
          <w:numId w:val="0"/>
        </w:numPr>
        <w:spacing w:line="480" w:lineRule="exact"/>
        <w:ind w:firstLine="420" w:firstLineChars="200"/>
        <w:jc w:val="left"/>
        <w:rPr>
          <w:rFonts w:cs="仿宋"/>
          <w:szCs w:val="28"/>
        </w:rPr>
      </w:pPr>
      <w:r>
        <w:rPr>
          <w:rFonts w:hint="eastAsia" w:cs="仿宋"/>
          <w:szCs w:val="28"/>
        </w:rPr>
        <w:t>2022年7月15日，协会定向向部分标准专家和行业重点企业征求意见，共收到3家单位4位专家提出的27条意见。根据收集的修改意见，编制组对该标准文本进行了修改完善。为了继续完善该标准的结构框架和文本内容，2023年编制组前往安徽、浙江等地开展补充调研，对企业智慧农资连锁网点建设情况进行实地核查。2023年11月24日，协会再次向协会会员单位发布《关于开展供销合作行业标准〈智慧农资连锁网点建设与管理规范〉调查工作的函》，并收到安徽辉隆农资公司等对相关情况的回复。</w:t>
      </w:r>
    </w:p>
    <w:p w14:paraId="7612E2D5">
      <w:pPr>
        <w:widowControl/>
        <w:numPr>
          <w:ilvl w:val="255"/>
          <w:numId w:val="0"/>
        </w:numPr>
        <w:spacing w:line="480" w:lineRule="exact"/>
        <w:ind w:firstLine="420" w:firstLineChars="200"/>
        <w:jc w:val="left"/>
        <w:rPr>
          <w:rFonts w:cs="仿宋"/>
          <w:szCs w:val="28"/>
        </w:rPr>
      </w:pPr>
      <w:r>
        <w:rPr>
          <w:rFonts w:hint="eastAsia" w:cs="仿宋"/>
          <w:szCs w:val="28"/>
        </w:rPr>
        <w:t>目前，协会已根据企业实际情况对标准文本相关条款进行了进一步修改完善，形成了现在的第二次征求意见稿。</w:t>
      </w:r>
    </w:p>
    <w:p w14:paraId="0375DEEF">
      <w:pPr>
        <w:widowControl/>
        <w:numPr>
          <w:ilvl w:val="255"/>
          <w:numId w:val="0"/>
        </w:numPr>
        <w:spacing w:line="480" w:lineRule="exact"/>
        <w:ind w:firstLine="422" w:firstLineChars="200"/>
        <w:jc w:val="left"/>
        <w:rPr>
          <w:b/>
          <w:bCs/>
          <w:szCs w:val="28"/>
        </w:rPr>
      </w:pPr>
      <w:bookmarkStart w:id="36" w:name="_Toc3341"/>
      <w:bookmarkStart w:id="37" w:name="_Toc5026"/>
      <w:bookmarkStart w:id="38" w:name="_Toc32394"/>
      <w:r>
        <w:rPr>
          <w:rFonts w:hint="eastAsia"/>
          <w:b/>
          <w:bCs/>
          <w:szCs w:val="28"/>
        </w:rPr>
        <w:t>（五）任务分工</w:t>
      </w:r>
      <w:bookmarkEnd w:id="30"/>
      <w:bookmarkEnd w:id="31"/>
      <w:bookmarkEnd w:id="32"/>
      <w:bookmarkEnd w:id="33"/>
      <w:bookmarkEnd w:id="34"/>
      <w:bookmarkEnd w:id="35"/>
      <w:bookmarkEnd w:id="36"/>
      <w:bookmarkEnd w:id="37"/>
      <w:bookmarkEnd w:id="38"/>
    </w:p>
    <w:p w14:paraId="204D7893">
      <w:pPr>
        <w:widowControl/>
        <w:spacing w:line="480" w:lineRule="exact"/>
        <w:ind w:firstLine="420" w:firstLineChars="200"/>
        <w:jc w:val="left"/>
        <w:rPr>
          <w:rFonts w:cs="仿宋"/>
          <w:szCs w:val="28"/>
        </w:rPr>
      </w:pPr>
      <w:r>
        <w:rPr>
          <w:rFonts w:hint="eastAsia" w:cs="仿宋"/>
          <w:szCs w:val="28"/>
        </w:rPr>
        <w:t>本标准是在中国农业生产资料流通协会牵头下，由多个单位共同编制完成。其中，中国农业生产资料流通协会龙文、符纯华、程晓霖、许锋、张丽君、乔利英、王晓雪负责前期资料的搜集整理、标准文本的起草、修改、完善、参与企业调研、组织召开讨论会、多次开展标准文本意见征求并整理修改等工作；</w:t>
      </w:r>
      <w:r>
        <w:rPr>
          <w:rFonts w:hint="eastAsia"/>
          <w:color w:val="000000"/>
          <w:szCs w:val="21"/>
        </w:rPr>
        <w:t>中国科学院合肥物质科学研究院</w:t>
      </w:r>
      <w:r>
        <w:rPr>
          <w:rFonts w:hint="eastAsia"/>
          <w:szCs w:val="22"/>
        </w:rPr>
        <w:t>周林立、黄河</w:t>
      </w:r>
      <w:r>
        <w:rPr>
          <w:rFonts w:hint="eastAsia" w:cs="仿宋"/>
          <w:szCs w:val="28"/>
        </w:rPr>
        <w:t>参与了标准文本第6章、第7章内容的调整修改，并对标准文本及编制说明提出修改建议；</w:t>
      </w:r>
      <w:r>
        <w:rPr>
          <w:rFonts w:hint="eastAsia"/>
          <w:color w:val="000000"/>
          <w:szCs w:val="21"/>
        </w:rPr>
        <w:t>中科合肥技术创新工程院</w:t>
      </w:r>
      <w:r>
        <w:rPr>
          <w:rFonts w:hint="eastAsia"/>
          <w:szCs w:val="22"/>
        </w:rPr>
        <w:t>李明浩参与了标准第7章的修改</w:t>
      </w:r>
      <w:r>
        <w:rPr>
          <w:rFonts w:hint="eastAsia" w:cs="仿宋"/>
          <w:szCs w:val="28"/>
        </w:rPr>
        <w:t>；</w:t>
      </w:r>
      <w:r>
        <w:rPr>
          <w:rFonts w:hint="eastAsia"/>
          <w:color w:val="000000"/>
          <w:szCs w:val="21"/>
        </w:rPr>
        <w:t>安徽省质量和标准化研究院</w:t>
      </w:r>
      <w:r>
        <w:rPr>
          <w:rFonts w:hint="eastAsia"/>
          <w:szCs w:val="22"/>
        </w:rPr>
        <w:t>陶学明</w:t>
      </w:r>
      <w:r>
        <w:rPr>
          <w:rFonts w:hint="eastAsia" w:cs="仿宋"/>
          <w:szCs w:val="28"/>
        </w:rPr>
        <w:t>主要负责对标准文本草稿的起草、讨论修改、提出意见等；</w:t>
      </w:r>
      <w:r>
        <w:rPr>
          <w:rFonts w:hint="eastAsia"/>
          <w:color w:val="000000"/>
          <w:szCs w:val="21"/>
        </w:rPr>
        <w:t>安徽省农业信息中心</w:t>
      </w:r>
      <w:r>
        <w:rPr>
          <w:rFonts w:hint="eastAsia"/>
          <w:szCs w:val="22"/>
        </w:rPr>
        <w:t>丁晶晶、</w:t>
      </w:r>
      <w:r>
        <w:rPr>
          <w:rFonts w:hint="eastAsia" w:cs="仿宋"/>
          <w:szCs w:val="28"/>
        </w:rPr>
        <w:t>安徽农业大学饶元主要对标准提出修改意见，并参与对标准文本的修改。</w:t>
      </w:r>
      <w:bookmarkStart w:id="39" w:name="_Toc1612"/>
      <w:bookmarkStart w:id="40" w:name="_Toc17421"/>
      <w:bookmarkStart w:id="41" w:name="_Toc18411"/>
      <w:bookmarkStart w:id="42" w:name="_Toc26825"/>
      <w:bookmarkStart w:id="43" w:name="_Toc320021800"/>
      <w:bookmarkStart w:id="44" w:name="_Toc12498"/>
    </w:p>
    <w:p w14:paraId="0A667AAD">
      <w:pPr>
        <w:widowControl/>
        <w:spacing w:line="480" w:lineRule="exact"/>
        <w:ind w:firstLine="422" w:firstLineChars="200"/>
        <w:outlineLvl w:val="0"/>
        <w:rPr>
          <w:b/>
          <w:bCs/>
          <w:szCs w:val="28"/>
        </w:rPr>
      </w:pPr>
      <w:bookmarkStart w:id="45" w:name="_Toc10286"/>
      <w:r>
        <w:rPr>
          <w:b/>
          <w:bCs/>
          <w:szCs w:val="28"/>
        </w:rPr>
        <w:t>二、</w:t>
      </w:r>
      <w:r>
        <w:rPr>
          <w:rFonts w:hint="eastAsia"/>
          <w:b/>
          <w:bCs/>
          <w:szCs w:val="28"/>
        </w:rPr>
        <w:t>行业</w:t>
      </w:r>
      <w:r>
        <w:rPr>
          <w:b/>
          <w:bCs/>
          <w:szCs w:val="28"/>
        </w:rPr>
        <w:t>标准编制原则、主要内容及其确定依据</w:t>
      </w:r>
      <w:bookmarkEnd w:id="39"/>
      <w:bookmarkEnd w:id="40"/>
      <w:bookmarkEnd w:id="45"/>
    </w:p>
    <w:p w14:paraId="7A9539F0">
      <w:pPr>
        <w:widowControl/>
        <w:spacing w:line="480" w:lineRule="exact"/>
        <w:ind w:firstLine="422" w:firstLineChars="200"/>
        <w:outlineLvl w:val="0"/>
        <w:rPr>
          <w:b/>
          <w:bCs/>
          <w:szCs w:val="28"/>
        </w:rPr>
      </w:pPr>
      <w:bookmarkStart w:id="46" w:name="_Toc13892"/>
      <w:bookmarkStart w:id="47" w:name="_Toc21353"/>
      <w:bookmarkStart w:id="48" w:name="_Toc17023"/>
      <w:r>
        <w:rPr>
          <w:rFonts w:hint="eastAsia"/>
          <w:b/>
          <w:bCs/>
          <w:szCs w:val="28"/>
        </w:rPr>
        <w:t>（一）标准制定原则</w:t>
      </w:r>
      <w:bookmarkEnd w:id="41"/>
      <w:bookmarkEnd w:id="42"/>
      <w:bookmarkEnd w:id="43"/>
      <w:bookmarkEnd w:id="44"/>
      <w:bookmarkEnd w:id="46"/>
      <w:bookmarkEnd w:id="47"/>
      <w:bookmarkEnd w:id="48"/>
    </w:p>
    <w:p w14:paraId="5AABBCFD">
      <w:pPr>
        <w:widowControl/>
        <w:spacing w:line="480" w:lineRule="exact"/>
        <w:ind w:firstLine="420" w:firstLineChars="200"/>
        <w:jc w:val="left"/>
        <w:rPr>
          <w:szCs w:val="28"/>
          <w:lang w:val="zh-CN"/>
        </w:rPr>
      </w:pPr>
      <w:r>
        <w:rPr>
          <w:rFonts w:hint="eastAsia"/>
          <w:szCs w:val="28"/>
          <w:lang w:val="zh-CN"/>
        </w:rPr>
        <w:t>本标准依据G</w:t>
      </w:r>
      <w:r>
        <w:rPr>
          <w:szCs w:val="28"/>
          <w:lang w:val="zh-CN"/>
        </w:rPr>
        <w:t>B</w:t>
      </w:r>
      <w:r>
        <w:rPr>
          <w:rFonts w:hint="eastAsia"/>
          <w:szCs w:val="28"/>
          <w:lang w:val="zh-CN"/>
        </w:rPr>
        <w:t>/</w:t>
      </w:r>
      <w:r>
        <w:rPr>
          <w:szCs w:val="28"/>
          <w:lang w:val="zh-CN"/>
        </w:rPr>
        <w:t>T 1.1</w:t>
      </w:r>
      <w:r>
        <w:rPr>
          <w:rFonts w:hint="eastAsia"/>
          <w:szCs w:val="28"/>
          <w:lang w:val="zh-CN"/>
        </w:rPr>
        <w:t>-2020《标准化工作导则  第1部分：标准化文件的结构和起草规则》规定的规则制定，在标准编制方面遵从的具体原则是：</w:t>
      </w:r>
    </w:p>
    <w:p w14:paraId="7CB49DFF">
      <w:pPr>
        <w:autoSpaceDE w:val="0"/>
        <w:autoSpaceDN w:val="0"/>
        <w:spacing w:line="480" w:lineRule="exact"/>
        <w:ind w:firstLine="422" w:firstLineChars="200"/>
        <w:rPr>
          <w:rFonts w:cs="仿宋"/>
          <w:b/>
          <w:bCs/>
          <w:szCs w:val="28"/>
        </w:rPr>
      </w:pPr>
      <w:bookmarkStart w:id="49" w:name="_Toc320021802"/>
      <w:r>
        <w:rPr>
          <w:rFonts w:hint="eastAsia"/>
          <w:b/>
          <w:bCs/>
          <w:szCs w:val="28"/>
        </w:rPr>
        <w:t>1.</w:t>
      </w:r>
      <w:r>
        <w:rPr>
          <w:rFonts w:hint="eastAsia" w:cs="仿宋"/>
          <w:b/>
          <w:bCs/>
          <w:szCs w:val="28"/>
        </w:rPr>
        <w:t>统一性原则</w:t>
      </w:r>
    </w:p>
    <w:p w14:paraId="24C3FD23">
      <w:pPr>
        <w:spacing w:line="480" w:lineRule="exact"/>
        <w:ind w:firstLine="420" w:firstLineChars="200"/>
        <w:rPr>
          <w:rFonts w:cs="仿宋"/>
          <w:szCs w:val="28"/>
        </w:rPr>
      </w:pPr>
      <w:r>
        <w:rPr>
          <w:rFonts w:hint="eastAsia" w:cs="仿宋"/>
          <w:szCs w:val="28"/>
        </w:rPr>
        <w:t>智慧农资连锁网点的建设与管理应遵循统一的标准和规范，包括网点设计、信息系统建设、设施设备配置等方面。通过标准化管理，确保各网点在形象、服务、运营等方面的统一性和一致性，提升品牌影响力和市场竞争力。</w:t>
      </w:r>
    </w:p>
    <w:p w14:paraId="4516EDC0">
      <w:pPr>
        <w:spacing w:line="480" w:lineRule="exact"/>
        <w:ind w:firstLine="422" w:firstLineChars="200"/>
        <w:outlineLvl w:val="1"/>
        <w:rPr>
          <w:b/>
          <w:bCs/>
          <w:szCs w:val="28"/>
        </w:rPr>
      </w:pPr>
      <w:r>
        <w:rPr>
          <w:b/>
          <w:bCs/>
          <w:szCs w:val="28"/>
        </w:rPr>
        <w:t>2</w:t>
      </w:r>
      <w:r>
        <w:rPr>
          <w:rFonts w:hint="eastAsia"/>
          <w:b/>
          <w:bCs/>
          <w:szCs w:val="28"/>
        </w:rPr>
        <w:t>.创新性原则‌</w:t>
      </w:r>
    </w:p>
    <w:p w14:paraId="47D539FB">
      <w:pPr>
        <w:spacing w:line="480" w:lineRule="exact"/>
        <w:ind w:firstLine="420" w:firstLineChars="200"/>
        <w:rPr>
          <w:rFonts w:cs="仿宋"/>
          <w:szCs w:val="28"/>
        </w:rPr>
      </w:pPr>
      <w:r>
        <w:rPr>
          <w:rFonts w:hint="eastAsia" w:cs="仿宋"/>
          <w:szCs w:val="28"/>
        </w:rPr>
        <w:t>充分利用现代信息技术，如物联网、大数据、云计算等，推动农资连锁网点的智慧化转型。通过创新技术服务手段，实现网点运营管理的智能化、自动化和高效化，提升服务质量和用户体验，同时降低运营成本，提高经营效率。</w:t>
      </w:r>
    </w:p>
    <w:p w14:paraId="759A3033">
      <w:pPr>
        <w:spacing w:line="480" w:lineRule="exact"/>
        <w:ind w:firstLine="422" w:firstLineChars="200"/>
        <w:outlineLvl w:val="1"/>
        <w:rPr>
          <w:b/>
          <w:bCs/>
          <w:szCs w:val="28"/>
        </w:rPr>
      </w:pPr>
      <w:r>
        <w:rPr>
          <w:b/>
          <w:bCs/>
          <w:szCs w:val="28"/>
        </w:rPr>
        <w:t>3</w:t>
      </w:r>
      <w:r>
        <w:rPr>
          <w:rFonts w:hint="eastAsia"/>
          <w:b/>
          <w:bCs/>
          <w:szCs w:val="28"/>
        </w:rPr>
        <w:t>.‌实用性与适应性原则</w:t>
      </w:r>
    </w:p>
    <w:p w14:paraId="1B231D85">
      <w:pPr>
        <w:spacing w:line="480" w:lineRule="exact"/>
        <w:ind w:firstLine="420" w:firstLineChars="200"/>
        <w:rPr>
          <w:rFonts w:cs="仿宋"/>
          <w:szCs w:val="28"/>
        </w:rPr>
      </w:pPr>
      <w:r>
        <w:rPr>
          <w:rFonts w:hint="eastAsia" w:cs="仿宋"/>
          <w:szCs w:val="28"/>
        </w:rPr>
        <w:t>智慧农资连锁网点的建设应注重实用性和适应性，应根据不同地区农业生产需求和实际情况，合理布局网点数量、规模和覆盖范围。网点设施设备应满足运营和管理要求，同时具备一定的灵活性和可扩展性，以适应未来业务发展和技术升级的需求。</w:t>
      </w:r>
    </w:p>
    <w:p w14:paraId="66023987">
      <w:pPr>
        <w:spacing w:line="480" w:lineRule="exact"/>
        <w:ind w:firstLine="422" w:firstLineChars="200"/>
        <w:outlineLvl w:val="1"/>
        <w:rPr>
          <w:b/>
          <w:bCs/>
          <w:szCs w:val="28"/>
        </w:rPr>
      </w:pPr>
      <w:r>
        <w:rPr>
          <w:b/>
          <w:bCs/>
          <w:szCs w:val="28"/>
        </w:rPr>
        <w:t>4</w:t>
      </w:r>
      <w:r>
        <w:rPr>
          <w:rFonts w:hint="eastAsia"/>
          <w:b/>
          <w:bCs/>
          <w:szCs w:val="28"/>
        </w:rPr>
        <w:t>.‌安全可靠性原则</w:t>
      </w:r>
    </w:p>
    <w:p w14:paraId="66395743">
      <w:pPr>
        <w:spacing w:line="480" w:lineRule="exact"/>
        <w:ind w:firstLine="420" w:firstLineChars="200"/>
        <w:rPr>
          <w:rFonts w:cs="仿宋"/>
          <w:szCs w:val="28"/>
        </w:rPr>
      </w:pPr>
      <w:r>
        <w:rPr>
          <w:rFonts w:hint="eastAsia" w:cs="仿宋"/>
          <w:szCs w:val="28"/>
        </w:rPr>
        <w:t>在智慧农资连锁网点的建设和管理过程中，应始终将安全可靠性放在首位。加强网点信息系统的安全防护，确保数据安全和信息保密；同时，完善网点设施设备的安全管理措施，防范各类安全事故的发生，保障农资连锁网点的人员和财产安全。</w:t>
      </w:r>
    </w:p>
    <w:p w14:paraId="210FB995">
      <w:pPr>
        <w:widowControl/>
        <w:spacing w:line="480" w:lineRule="exact"/>
        <w:ind w:firstLine="422" w:firstLineChars="200"/>
        <w:jc w:val="left"/>
        <w:rPr>
          <w:b/>
          <w:bCs/>
          <w:szCs w:val="28"/>
        </w:rPr>
      </w:pPr>
      <w:bookmarkStart w:id="50" w:name="_Toc320021801"/>
      <w:r>
        <w:rPr>
          <w:rFonts w:hint="eastAsia"/>
          <w:b/>
          <w:bCs/>
          <w:szCs w:val="28"/>
        </w:rPr>
        <w:t>2.标准编制的参考依据</w:t>
      </w:r>
    </w:p>
    <w:p w14:paraId="6415DBC5">
      <w:pPr>
        <w:widowControl/>
        <w:spacing w:line="480" w:lineRule="exact"/>
        <w:ind w:firstLine="420" w:firstLineChars="200"/>
        <w:jc w:val="left"/>
        <w:rPr>
          <w:szCs w:val="28"/>
          <w:lang w:val="zh-CN"/>
        </w:rPr>
      </w:pPr>
      <w:r>
        <w:rPr>
          <w:rFonts w:hint="eastAsia"/>
          <w:szCs w:val="28"/>
          <w:lang w:val="zh-CN"/>
        </w:rPr>
        <w:t>GB/T 28181  安全防范视频监控联网系统信息传输、交换、控制技术要求</w:t>
      </w:r>
    </w:p>
    <w:p w14:paraId="4AEE096C">
      <w:pPr>
        <w:widowControl/>
        <w:spacing w:line="480" w:lineRule="exact"/>
        <w:ind w:firstLine="420" w:firstLineChars="200"/>
        <w:jc w:val="left"/>
        <w:rPr>
          <w:szCs w:val="28"/>
          <w:lang w:val="zh-CN"/>
        </w:rPr>
      </w:pPr>
      <w:r>
        <w:rPr>
          <w:rFonts w:hint="eastAsia"/>
          <w:szCs w:val="28"/>
          <w:lang w:val="zh-CN"/>
        </w:rPr>
        <w:t>GB/T 33044  农业生产资料连锁经营网络规范</w:t>
      </w:r>
    </w:p>
    <w:p w14:paraId="4454371B">
      <w:pPr>
        <w:widowControl/>
        <w:spacing w:line="480" w:lineRule="exact"/>
        <w:ind w:firstLine="420" w:firstLineChars="200"/>
        <w:jc w:val="left"/>
        <w:rPr>
          <w:szCs w:val="28"/>
          <w:lang w:val="zh-CN"/>
        </w:rPr>
      </w:pPr>
      <w:r>
        <w:rPr>
          <w:rFonts w:hint="eastAsia"/>
          <w:szCs w:val="28"/>
          <w:lang w:val="zh-CN"/>
        </w:rPr>
        <w:t>GB/T 37675  农业生产资料供应服务 农资电子商务交易服务规范</w:t>
      </w:r>
    </w:p>
    <w:p w14:paraId="7497A4B6">
      <w:pPr>
        <w:widowControl/>
        <w:spacing w:line="480" w:lineRule="exact"/>
        <w:ind w:firstLine="420" w:firstLineChars="200"/>
        <w:jc w:val="left"/>
        <w:rPr>
          <w:szCs w:val="28"/>
          <w:lang w:val="zh-CN"/>
        </w:rPr>
      </w:pPr>
      <w:r>
        <w:rPr>
          <w:rFonts w:hint="eastAsia"/>
          <w:szCs w:val="28"/>
          <w:lang w:val="zh-CN"/>
        </w:rPr>
        <w:t>GB 50034  建筑照明设计标准</w:t>
      </w:r>
    </w:p>
    <w:p w14:paraId="48AD0778">
      <w:pPr>
        <w:widowControl/>
        <w:spacing w:line="480" w:lineRule="exact"/>
        <w:ind w:firstLine="420" w:firstLineChars="200"/>
        <w:jc w:val="left"/>
        <w:rPr>
          <w:szCs w:val="28"/>
          <w:lang w:val="zh-CN"/>
        </w:rPr>
      </w:pPr>
      <w:r>
        <w:rPr>
          <w:rFonts w:hint="eastAsia"/>
          <w:szCs w:val="28"/>
          <w:lang w:val="zh-CN"/>
        </w:rPr>
        <w:t>GB 55022  既有建筑维护与改造通用规范</w:t>
      </w:r>
    </w:p>
    <w:p w14:paraId="2CF82AA2">
      <w:pPr>
        <w:widowControl/>
        <w:spacing w:line="480" w:lineRule="exact"/>
        <w:ind w:firstLine="420" w:firstLineChars="200"/>
        <w:jc w:val="left"/>
        <w:rPr>
          <w:szCs w:val="28"/>
          <w:lang w:val="zh-CN"/>
        </w:rPr>
      </w:pPr>
      <w:r>
        <w:rPr>
          <w:rFonts w:hint="eastAsia"/>
          <w:szCs w:val="28"/>
          <w:lang w:val="zh-CN"/>
        </w:rPr>
        <w:t>GA/T 367  视频安防监控系统技术要求</w:t>
      </w:r>
    </w:p>
    <w:p w14:paraId="43A2255D">
      <w:pPr>
        <w:widowControl/>
        <w:spacing w:line="480" w:lineRule="exact"/>
        <w:ind w:firstLine="420" w:firstLineChars="200"/>
        <w:jc w:val="left"/>
        <w:rPr>
          <w:szCs w:val="28"/>
          <w:lang w:val="zh-CN"/>
        </w:rPr>
      </w:pPr>
      <w:r>
        <w:rPr>
          <w:rFonts w:hint="eastAsia"/>
          <w:szCs w:val="28"/>
          <w:lang w:val="zh-CN"/>
        </w:rPr>
        <w:t>GH/T 1225  农资质量追溯体系建设规范</w:t>
      </w:r>
    </w:p>
    <w:p w14:paraId="7A89E801">
      <w:pPr>
        <w:widowControl/>
        <w:spacing w:line="480" w:lineRule="exact"/>
        <w:ind w:firstLine="420" w:firstLineChars="200"/>
        <w:jc w:val="left"/>
        <w:rPr>
          <w:szCs w:val="28"/>
          <w:lang w:val="zh-CN"/>
        </w:rPr>
      </w:pPr>
      <w:r>
        <w:rPr>
          <w:rFonts w:hint="eastAsia"/>
          <w:szCs w:val="28"/>
          <w:lang w:val="zh-CN"/>
        </w:rPr>
        <w:t>SJ/T 11141  LED显示屏通用规范</w:t>
      </w:r>
    </w:p>
    <w:p w14:paraId="10685403">
      <w:pPr>
        <w:widowControl/>
        <w:spacing w:line="480" w:lineRule="exact"/>
        <w:ind w:firstLine="420" w:firstLineChars="200"/>
        <w:jc w:val="left"/>
        <w:rPr>
          <w:szCs w:val="28"/>
          <w:lang w:val="zh-CN"/>
        </w:rPr>
      </w:pPr>
      <w:r>
        <w:rPr>
          <w:rFonts w:hint="eastAsia"/>
          <w:szCs w:val="28"/>
          <w:lang w:val="zh-CN"/>
        </w:rPr>
        <w:t>SJ/T 11653  电子收款机通用规范</w:t>
      </w:r>
    </w:p>
    <w:bookmarkEnd w:id="49"/>
    <w:bookmarkEnd w:id="50"/>
    <w:p w14:paraId="6B2ABA1D">
      <w:pPr>
        <w:widowControl/>
        <w:spacing w:line="480" w:lineRule="exact"/>
        <w:ind w:firstLine="422" w:firstLineChars="200"/>
        <w:outlineLvl w:val="0"/>
        <w:rPr>
          <w:b/>
          <w:bCs/>
          <w:szCs w:val="28"/>
        </w:rPr>
      </w:pPr>
      <w:bookmarkStart w:id="51" w:name="_Toc16609"/>
      <w:bookmarkStart w:id="52" w:name="_Toc30732"/>
      <w:bookmarkStart w:id="53" w:name="_Toc27964"/>
      <w:bookmarkStart w:id="54" w:name="_Toc320021803"/>
      <w:bookmarkStart w:id="55" w:name="_Toc20000"/>
      <w:bookmarkStart w:id="56" w:name="_Toc23037"/>
      <w:bookmarkStart w:id="57" w:name="_Toc23241"/>
      <w:r>
        <w:rPr>
          <w:rFonts w:hint="eastAsia"/>
          <w:b/>
          <w:bCs/>
          <w:szCs w:val="28"/>
        </w:rPr>
        <w:t>（二）</w:t>
      </w:r>
      <w:r>
        <w:rPr>
          <w:b/>
          <w:bCs/>
          <w:szCs w:val="28"/>
        </w:rPr>
        <w:t>主要内容及其确定依据</w:t>
      </w:r>
      <w:bookmarkEnd w:id="51"/>
    </w:p>
    <w:p w14:paraId="49572966">
      <w:pPr>
        <w:spacing w:line="480" w:lineRule="exact"/>
        <w:ind w:firstLine="420" w:firstLineChars="200"/>
        <w:rPr>
          <w:rFonts w:cs="仿宋"/>
          <w:szCs w:val="28"/>
        </w:rPr>
      </w:pPr>
      <w:r>
        <w:rPr>
          <w:rFonts w:hint="eastAsia" w:cs="仿宋"/>
          <w:szCs w:val="28"/>
        </w:rPr>
        <w:t>本标准分为范围、规范性引用文件、术语与定义、总体要求、基础设施建设要求、智慧化建设要求、网点管理等7部分，主要内容如下：</w:t>
      </w:r>
    </w:p>
    <w:p w14:paraId="034D75A2">
      <w:pPr>
        <w:spacing w:line="480" w:lineRule="exact"/>
        <w:ind w:firstLine="422" w:firstLineChars="200"/>
        <w:outlineLvl w:val="1"/>
        <w:rPr>
          <w:b/>
          <w:bCs/>
          <w:szCs w:val="28"/>
        </w:rPr>
      </w:pPr>
      <w:r>
        <w:rPr>
          <w:rFonts w:hint="eastAsia"/>
          <w:b/>
          <w:bCs/>
          <w:szCs w:val="28"/>
        </w:rPr>
        <w:t>1.范围</w:t>
      </w:r>
    </w:p>
    <w:p w14:paraId="7D17129B">
      <w:pPr>
        <w:spacing w:line="480" w:lineRule="exact"/>
        <w:ind w:firstLine="420" w:firstLineChars="200"/>
        <w:rPr>
          <w:rFonts w:cs="仿宋"/>
          <w:szCs w:val="28"/>
        </w:rPr>
      </w:pPr>
      <w:r>
        <w:rPr>
          <w:rFonts w:hint="eastAsia" w:cs="仿宋"/>
          <w:szCs w:val="28"/>
        </w:rPr>
        <w:t>本文件规定了智慧农资连锁网点建设与管理的总体要求、基础设施建设要求、智慧化建设要求、网点管理等内容。</w:t>
      </w:r>
    </w:p>
    <w:p w14:paraId="3BE3F52F">
      <w:pPr>
        <w:spacing w:line="480" w:lineRule="exact"/>
        <w:ind w:firstLine="420" w:firstLineChars="200"/>
        <w:jc w:val="left"/>
        <w:rPr>
          <w:rFonts w:cs="仿宋"/>
          <w:szCs w:val="28"/>
        </w:rPr>
      </w:pPr>
      <w:r>
        <w:rPr>
          <w:rFonts w:hint="eastAsia" w:cs="仿宋"/>
          <w:szCs w:val="28"/>
        </w:rPr>
        <w:t>本文件适用于智慧农资连锁网点的新建、改建或扩建和管理。</w:t>
      </w:r>
    </w:p>
    <w:p w14:paraId="3E12504B">
      <w:pPr>
        <w:spacing w:line="480" w:lineRule="exact"/>
        <w:ind w:firstLine="422" w:firstLineChars="200"/>
        <w:outlineLvl w:val="1"/>
        <w:rPr>
          <w:b/>
          <w:bCs/>
          <w:szCs w:val="28"/>
        </w:rPr>
      </w:pPr>
      <w:r>
        <w:rPr>
          <w:rFonts w:hint="eastAsia"/>
          <w:b/>
          <w:bCs/>
          <w:szCs w:val="28"/>
        </w:rPr>
        <w:t>2.规范性引用文件</w:t>
      </w:r>
    </w:p>
    <w:p w14:paraId="4B03E1B2">
      <w:pPr>
        <w:numPr>
          <w:ilvl w:val="255"/>
          <w:numId w:val="0"/>
        </w:numPr>
        <w:spacing w:line="480" w:lineRule="exact"/>
        <w:ind w:firstLine="420" w:firstLineChars="200"/>
        <w:rPr>
          <w:rFonts w:cs="仿宋"/>
          <w:szCs w:val="28"/>
        </w:rPr>
      </w:pPr>
      <w:r>
        <w:rPr>
          <w:szCs w:val="28"/>
        </w:rPr>
        <w:t>本规范所引用的国家有关规范、规程、标准均为现行且有效的</w:t>
      </w:r>
      <w:r>
        <w:rPr>
          <w:rFonts w:hint="eastAsia"/>
          <w:szCs w:val="28"/>
        </w:rPr>
        <w:t>，在</w:t>
      </w:r>
      <w:r>
        <w:rPr>
          <w:szCs w:val="28"/>
        </w:rPr>
        <w:t>条文中给出编号，以便使用时查找。</w:t>
      </w:r>
    </w:p>
    <w:p w14:paraId="2D40716A">
      <w:pPr>
        <w:spacing w:line="480" w:lineRule="exact"/>
        <w:ind w:firstLine="422" w:firstLineChars="200"/>
        <w:outlineLvl w:val="1"/>
        <w:rPr>
          <w:b/>
          <w:bCs/>
          <w:szCs w:val="28"/>
        </w:rPr>
      </w:pPr>
      <w:r>
        <w:rPr>
          <w:rFonts w:hint="eastAsia"/>
          <w:b/>
          <w:bCs/>
          <w:szCs w:val="28"/>
        </w:rPr>
        <w:t>3.术语和定义</w:t>
      </w:r>
    </w:p>
    <w:p w14:paraId="5FA11744">
      <w:pPr>
        <w:autoSpaceDE w:val="0"/>
        <w:autoSpaceDN w:val="0"/>
        <w:spacing w:line="480" w:lineRule="exact"/>
        <w:ind w:firstLine="420" w:firstLineChars="200"/>
        <w:rPr>
          <w:szCs w:val="28"/>
        </w:rPr>
      </w:pPr>
      <w:r>
        <w:rPr>
          <w:rFonts w:hint="eastAsia"/>
          <w:szCs w:val="28"/>
        </w:rPr>
        <w:t>对农资、连锁网点、总部、智慧农资连锁网点4个术语进行了定义说明，便于标准应用者理解和应用。上述术语的定义是依照立项之初和项目论证时的确认，并结合当前实际及未来发展需要综合给出的。</w:t>
      </w:r>
    </w:p>
    <w:p w14:paraId="33B8D340">
      <w:pPr>
        <w:autoSpaceDE w:val="0"/>
        <w:autoSpaceDN w:val="0"/>
        <w:spacing w:line="480" w:lineRule="exact"/>
        <w:ind w:firstLine="420" w:firstLineChars="200"/>
        <w:rPr>
          <w:rFonts w:cs="仿宋"/>
          <w:szCs w:val="28"/>
        </w:rPr>
      </w:pPr>
      <w:r>
        <w:rPr>
          <w:rFonts w:hint="eastAsia"/>
          <w:szCs w:val="28"/>
        </w:rPr>
        <w:t>其中“农资”的定义参考了GB/T 37675《农业生产资料供应服务 农资电子商务交易服务规范》相同术语的定义。“连锁网点”的定义参考了GB/T 33044《农业生产资料连锁经营网络规范》中农资连锁经营的定义，由于连锁网点是提供农资销售及其配套服务的场所或组织，因此，该定义改为“在同一总部的管理下，统一商号，统一形象，采取统一采购或者特许经营的方式，提供农资销售及其配套服务的场所或组织。”“总部”的定义参考了GB/T 33044-2016《农业生产资料连锁经营网络规范》中术语的定义。“智慧</w:t>
      </w:r>
      <w:bookmarkStart w:id="58" w:name="_Hlk102815446"/>
      <w:r>
        <w:rPr>
          <w:rFonts w:hint="eastAsia"/>
          <w:szCs w:val="28"/>
        </w:rPr>
        <w:t>农资</w:t>
      </w:r>
      <w:bookmarkEnd w:id="58"/>
      <w:r>
        <w:rPr>
          <w:rFonts w:hint="eastAsia"/>
          <w:szCs w:val="28"/>
        </w:rPr>
        <w:t>连锁网点”的定义是根据调研及资料收集整理后总结得出。</w:t>
      </w:r>
    </w:p>
    <w:p w14:paraId="0724A09B">
      <w:pPr>
        <w:spacing w:line="480" w:lineRule="exact"/>
        <w:ind w:firstLine="422" w:firstLineChars="200"/>
        <w:outlineLvl w:val="1"/>
        <w:rPr>
          <w:b/>
          <w:bCs/>
          <w:szCs w:val="28"/>
        </w:rPr>
      </w:pPr>
      <w:r>
        <w:rPr>
          <w:rFonts w:hint="eastAsia"/>
          <w:b/>
          <w:bCs/>
          <w:szCs w:val="28"/>
        </w:rPr>
        <w:t>4.总体要求</w:t>
      </w:r>
    </w:p>
    <w:p w14:paraId="1326EE44">
      <w:pPr>
        <w:autoSpaceDE w:val="0"/>
        <w:autoSpaceDN w:val="0"/>
        <w:spacing w:line="480" w:lineRule="exact"/>
        <w:ind w:firstLine="420" w:firstLineChars="200"/>
        <w:rPr>
          <w:szCs w:val="28"/>
        </w:rPr>
      </w:pPr>
      <w:r>
        <w:rPr>
          <w:rFonts w:hint="eastAsia"/>
          <w:szCs w:val="28"/>
        </w:rPr>
        <w:t>本节将</w:t>
      </w:r>
      <w:r>
        <w:rPr>
          <w:rFonts w:hint="eastAsia" w:cs="仿宋"/>
          <w:szCs w:val="28"/>
        </w:rPr>
        <w:t>智慧农资连锁网点建设与管理的总体要求进行了描述，包括建设地点应符合相关要求，需合理进行网点的布局，网点智慧信息系统应用及智慧农资连锁网点统一管理等</w:t>
      </w:r>
      <w:r>
        <w:rPr>
          <w:rFonts w:hint="eastAsia"/>
          <w:szCs w:val="28"/>
        </w:rPr>
        <w:t>。</w:t>
      </w:r>
    </w:p>
    <w:p w14:paraId="4CAD1934">
      <w:pPr>
        <w:spacing w:line="480" w:lineRule="exact"/>
        <w:ind w:firstLine="422" w:firstLineChars="200"/>
        <w:outlineLvl w:val="1"/>
        <w:rPr>
          <w:b/>
          <w:bCs/>
          <w:szCs w:val="28"/>
        </w:rPr>
      </w:pPr>
      <w:r>
        <w:rPr>
          <w:rFonts w:hint="eastAsia"/>
          <w:b/>
          <w:bCs/>
          <w:szCs w:val="28"/>
        </w:rPr>
        <w:t>5.基础设施建设要求</w:t>
      </w:r>
    </w:p>
    <w:p w14:paraId="658C47BF">
      <w:pPr>
        <w:numPr>
          <w:ilvl w:val="255"/>
          <w:numId w:val="0"/>
        </w:numPr>
        <w:spacing w:line="480" w:lineRule="exact"/>
        <w:ind w:firstLine="420" w:firstLineChars="200"/>
        <w:rPr>
          <w:rFonts w:cs="仿宋"/>
          <w:szCs w:val="28"/>
        </w:rPr>
      </w:pPr>
      <w:r>
        <w:rPr>
          <w:rFonts w:cs="仿宋"/>
          <w:szCs w:val="28"/>
        </w:rPr>
        <w:t>本</w:t>
      </w:r>
      <w:r>
        <w:rPr>
          <w:rFonts w:hint="eastAsia"/>
          <w:szCs w:val="28"/>
        </w:rPr>
        <w:t>节</w:t>
      </w:r>
      <w:r>
        <w:rPr>
          <w:rFonts w:cs="仿宋"/>
          <w:szCs w:val="28"/>
        </w:rPr>
        <w:t>规定了智慧农资网点基础设施建设的具体要求。智慧农资连锁网点基础设施建设需满足合规性、功能性与安全性要求：‌选址‌应符合国土空间规划及商业网点布局，严格遵循交通、环保、消防等法规，优先布局于交通便利、临近种植集中区域且与居民生活区、水源地保持合理距离；‌建筑‌应为固定或合规改造的独立/连体结构，符合国家建筑安全与消防标准（如GB 55022），场地面积需适配经营需求，并明确划分收银、展售、仓储等功能区；‌设施设备‌须配备货架、展示柜、仓库、收银系统、搬运工具及消防设备等基础硬件，全面保障网点运营、商品管理及安全防护的标准化需求</w:t>
      </w:r>
      <w:r>
        <w:rPr>
          <w:rFonts w:hint="eastAsia" w:cs="仿宋"/>
          <w:szCs w:val="28"/>
        </w:rPr>
        <w:t>。</w:t>
      </w:r>
    </w:p>
    <w:p w14:paraId="5269FAA9">
      <w:pPr>
        <w:spacing w:line="480" w:lineRule="exact"/>
        <w:ind w:firstLine="422" w:firstLineChars="200"/>
        <w:outlineLvl w:val="1"/>
        <w:rPr>
          <w:b/>
          <w:bCs/>
          <w:szCs w:val="28"/>
        </w:rPr>
      </w:pPr>
      <w:r>
        <w:rPr>
          <w:rFonts w:hint="eastAsia"/>
          <w:b/>
          <w:bCs/>
          <w:szCs w:val="28"/>
        </w:rPr>
        <w:t>6.智慧化建设要求</w:t>
      </w:r>
    </w:p>
    <w:p w14:paraId="6D4B6E59">
      <w:pPr>
        <w:autoSpaceDE w:val="0"/>
        <w:autoSpaceDN w:val="0"/>
        <w:spacing w:line="480" w:lineRule="exact"/>
        <w:ind w:firstLine="420" w:firstLineChars="200"/>
        <w:jc w:val="left"/>
        <w:rPr>
          <w:rFonts w:cs="仿宋"/>
          <w:szCs w:val="28"/>
        </w:rPr>
      </w:pPr>
      <w:r>
        <w:rPr>
          <w:rFonts w:hint="eastAsia" w:cs="仿宋"/>
          <w:szCs w:val="28"/>
        </w:rPr>
        <w:t>本</w:t>
      </w:r>
      <w:r>
        <w:rPr>
          <w:rFonts w:hint="eastAsia"/>
          <w:szCs w:val="28"/>
        </w:rPr>
        <w:t>节</w:t>
      </w:r>
      <w:r>
        <w:rPr>
          <w:rFonts w:hint="eastAsia" w:cs="仿宋"/>
          <w:szCs w:val="28"/>
        </w:rPr>
        <w:t>规定了智慧农资网点智慧化建设的具体要求。智慧农资连锁网点智慧化建设框架以‌系统层、技术层、设备层、应用层‌为核心构建：‌系统层‌基于统一的信息系统实现商品管理、营销、电商、农技服务、支付及信息服务的全流程覆盖，支持数据交互与智能分析；‌技术层‌依托物联网、大数据、云计算、5G、人工智能（AI）及区块链等技术，采用SOA架构确保平台与系统的开放互联；‌设备层‌涵盖高速通讯网络（内/外网及Wi-Fi全覆盖）、高清智能监控（符合国标，支持远程管理）、智能电子秤（数据可追溯）、多功能收银设备（支持多元支付）、智能信息屏（实时发布政策及商品信息）等硬件设施，并允许扩展自助设备；‌应用层‌通过技术集成实现商品全生命周期管理、精准营销、线上线下一体化服务、农技咨询及智慧支付等场景化功能，全面赋能网点高效运营与智慧服务。</w:t>
      </w:r>
    </w:p>
    <w:p w14:paraId="598AF0C6">
      <w:pPr>
        <w:spacing w:line="480" w:lineRule="exact"/>
        <w:ind w:firstLine="422" w:firstLineChars="200"/>
        <w:outlineLvl w:val="1"/>
        <w:rPr>
          <w:b/>
          <w:bCs/>
          <w:szCs w:val="28"/>
        </w:rPr>
      </w:pPr>
      <w:r>
        <w:rPr>
          <w:rFonts w:hint="eastAsia"/>
          <w:b/>
          <w:bCs/>
          <w:szCs w:val="28"/>
        </w:rPr>
        <w:t>7.网点管理</w:t>
      </w:r>
    </w:p>
    <w:p w14:paraId="6E1EB5C8">
      <w:pPr>
        <w:numPr>
          <w:ilvl w:val="255"/>
          <w:numId w:val="0"/>
        </w:numPr>
        <w:spacing w:line="480" w:lineRule="exact"/>
        <w:ind w:firstLine="420" w:firstLineChars="200"/>
        <w:rPr>
          <w:rFonts w:cs="仿宋"/>
          <w:szCs w:val="28"/>
        </w:rPr>
      </w:pPr>
      <w:r>
        <w:rPr>
          <w:rFonts w:hint="eastAsia" w:cs="仿宋"/>
          <w:szCs w:val="28"/>
        </w:rPr>
        <w:t>本节规定了智慧农资网点日常经营管理的具体要求。智慧农资连锁网点综合管理体系涵盖‌基础运维、人员规范、商品管控、数据治理及智慧服务‌多维要求：‌基础运维‌需定期维护智能设备与系统，确保环境整洁、信息安全及数据分级备份，并通过平台统筹存货销售与考评改进；‌人员管理‌要求配备专业团队，强化农资知识、信息化技能及定期培训考核；‌商品管理‌严控进货验证、分类存储、库存盘点与质量追溯，保障合规可溯；‌数据治理‌构建全周期安全体系，规范采集、传输、存储及权限管控，强化容灾备份；‌智慧服务‌整合线上线下销售配送网络，融合测土配方、无人机飞防、农机调度等现代信息技术，依托大数据与智能平台实现农资供应、技术指导与产销协同的一体化高效运营。</w:t>
      </w:r>
    </w:p>
    <w:p w14:paraId="1B2B5CD2">
      <w:pPr>
        <w:widowControl/>
        <w:spacing w:line="480" w:lineRule="exact"/>
        <w:ind w:firstLine="422" w:firstLineChars="200"/>
        <w:outlineLvl w:val="0"/>
        <w:rPr>
          <w:b/>
          <w:bCs/>
          <w:szCs w:val="28"/>
        </w:rPr>
      </w:pPr>
      <w:bookmarkStart w:id="59" w:name="_Toc7724"/>
      <w:r>
        <w:rPr>
          <w:rFonts w:hint="eastAsia"/>
          <w:b/>
          <w:bCs/>
          <w:szCs w:val="28"/>
        </w:rPr>
        <w:t>三、</w:t>
      </w:r>
      <w:r>
        <w:rPr>
          <w:b/>
          <w:bCs/>
          <w:szCs w:val="28"/>
        </w:rPr>
        <w:t>试验验证的分析、综述报告，技术经济论证，预期的经济效益、社会效益和生态效益</w:t>
      </w:r>
      <w:bookmarkEnd w:id="52"/>
      <w:bookmarkEnd w:id="53"/>
      <w:bookmarkEnd w:id="59"/>
    </w:p>
    <w:p w14:paraId="099A6FEE">
      <w:pPr>
        <w:spacing w:line="480" w:lineRule="exact"/>
        <w:ind w:firstLine="422" w:firstLineChars="200"/>
        <w:outlineLvl w:val="0"/>
        <w:rPr>
          <w:b/>
          <w:bCs/>
          <w:szCs w:val="28"/>
        </w:rPr>
      </w:pPr>
      <w:bookmarkStart w:id="60" w:name="_Toc22834"/>
      <w:bookmarkStart w:id="61" w:name="_Toc31659"/>
      <w:bookmarkStart w:id="62" w:name="_Toc1879"/>
      <w:r>
        <w:rPr>
          <w:rFonts w:hint="eastAsia"/>
          <w:b/>
          <w:bCs/>
          <w:szCs w:val="28"/>
        </w:rPr>
        <w:t>（一）本标准不涉及相关</w:t>
      </w:r>
      <w:r>
        <w:rPr>
          <w:b/>
          <w:bCs/>
          <w:szCs w:val="28"/>
        </w:rPr>
        <w:t>试验验证</w:t>
      </w:r>
      <w:bookmarkEnd w:id="60"/>
      <w:bookmarkEnd w:id="61"/>
      <w:bookmarkEnd w:id="62"/>
    </w:p>
    <w:p w14:paraId="142EC053">
      <w:pPr>
        <w:pStyle w:val="27"/>
        <w:tabs>
          <w:tab w:val="center" w:pos="4201"/>
          <w:tab w:val="right" w:leader="dot" w:pos="9298"/>
        </w:tabs>
        <w:spacing w:line="480" w:lineRule="exact"/>
        <w:ind w:firstLine="420"/>
        <w:rPr>
          <w:rFonts w:ascii="Times New Roman" w:cs="仿宋"/>
          <w:szCs w:val="28"/>
        </w:rPr>
      </w:pPr>
      <w:bookmarkStart w:id="63" w:name="_Toc16828"/>
      <w:bookmarkStart w:id="64" w:name="_Toc29231"/>
      <w:r>
        <w:rPr>
          <w:rFonts w:hint="eastAsia" w:ascii="Times New Roman" w:cs="仿宋"/>
          <w:szCs w:val="28"/>
        </w:rPr>
        <w:t>本标准不涉及进行试验验证及技术经济论证等，在制定过程中未出现重大分歧意见。</w:t>
      </w:r>
    </w:p>
    <w:p w14:paraId="2E1D9EA4">
      <w:pPr>
        <w:spacing w:line="480" w:lineRule="exact"/>
        <w:ind w:firstLine="422" w:firstLineChars="200"/>
        <w:outlineLvl w:val="0"/>
        <w:rPr>
          <w:szCs w:val="28"/>
        </w:rPr>
      </w:pPr>
      <w:bookmarkStart w:id="65" w:name="_Toc18173"/>
      <w:r>
        <w:rPr>
          <w:rFonts w:hint="eastAsia"/>
          <w:b/>
          <w:bCs/>
          <w:szCs w:val="28"/>
        </w:rPr>
        <w:t>（二）</w:t>
      </w:r>
      <w:bookmarkEnd w:id="54"/>
      <w:r>
        <w:rPr>
          <w:rFonts w:hint="eastAsia"/>
          <w:b/>
          <w:bCs/>
          <w:szCs w:val="28"/>
        </w:rPr>
        <w:t>预期的经济效益、社会效益和生态效益</w:t>
      </w:r>
      <w:bookmarkEnd w:id="55"/>
      <w:bookmarkEnd w:id="56"/>
      <w:bookmarkEnd w:id="57"/>
      <w:bookmarkEnd w:id="63"/>
      <w:bookmarkEnd w:id="64"/>
      <w:bookmarkEnd w:id="65"/>
    </w:p>
    <w:p w14:paraId="40E66708">
      <w:pPr>
        <w:numPr>
          <w:ilvl w:val="255"/>
          <w:numId w:val="0"/>
        </w:numPr>
        <w:spacing w:line="480" w:lineRule="exact"/>
        <w:ind w:firstLine="420" w:firstLineChars="200"/>
        <w:rPr>
          <w:rFonts w:cs="仿宋"/>
          <w:szCs w:val="28"/>
        </w:rPr>
      </w:pPr>
      <w:bookmarkStart w:id="66" w:name="_Toc4359"/>
      <w:bookmarkStart w:id="67" w:name="_Toc3327"/>
      <w:bookmarkStart w:id="68" w:name="_Toc8707"/>
      <w:bookmarkStart w:id="69" w:name="_Toc11237"/>
      <w:bookmarkStart w:id="70" w:name="_Toc28878"/>
      <w:bookmarkStart w:id="71" w:name="_Toc21388"/>
      <w:bookmarkStart w:id="72" w:name="_Toc6242"/>
      <w:bookmarkStart w:id="73" w:name="_Toc320021804"/>
      <w:r>
        <w:rPr>
          <w:rFonts w:hint="eastAsia" w:cs="仿宋"/>
          <w:szCs w:val="28"/>
        </w:rPr>
        <w:t>标准发布实施后，从经济效益方面来看，本标准通过统一数据接口与业务流程，有利于实现农资供应链的降本增效，显著降低企业综合运营成本。从社会效益来看，本标准的制定将实现数字</w:t>
      </w:r>
      <w:r>
        <w:rPr>
          <w:rFonts w:hint="eastAsia" w:cs="仿宋"/>
          <w:color w:val="0F1115"/>
          <w:szCs w:val="28"/>
          <w:shd w:val="clear" w:color="auto" w:fill="FFFFFF"/>
        </w:rPr>
        <w:t>赋能</w:t>
      </w:r>
      <w:r>
        <w:rPr>
          <w:rFonts w:hint="eastAsia" w:cs="仿宋"/>
          <w:szCs w:val="28"/>
        </w:rPr>
        <w:t>，通过整合农资供应、农技指导、飞防托管、农资质量溯源等多元化服务，有力推动农资连锁网点“一点多能、一网多用”的综合性服务网络建设，</w:t>
      </w:r>
      <w:r>
        <w:rPr>
          <w:rFonts w:hint="eastAsia" w:cs="仿宋"/>
          <w:color w:val="0F1115"/>
          <w:szCs w:val="28"/>
          <w:shd w:val="clear" w:color="auto" w:fill="FFFFFF"/>
        </w:rPr>
        <w:t>促进小农户与现代农业有机衔接</w:t>
      </w:r>
      <w:r>
        <w:rPr>
          <w:rFonts w:hint="eastAsia" w:cs="仿宋"/>
          <w:szCs w:val="28"/>
        </w:rPr>
        <w:t>。从生态效益来看，通过精准化和智能化的管理，从源头推动农资供应向绿色、低碳方向发展。</w:t>
      </w:r>
    </w:p>
    <w:p w14:paraId="6690D292">
      <w:pPr>
        <w:widowControl/>
        <w:spacing w:line="480" w:lineRule="exact"/>
        <w:ind w:firstLine="422" w:firstLineChars="200"/>
        <w:outlineLvl w:val="0"/>
        <w:rPr>
          <w:b/>
          <w:bCs/>
          <w:szCs w:val="28"/>
        </w:rPr>
      </w:pPr>
      <w:bookmarkStart w:id="74" w:name="_Toc11722"/>
      <w:bookmarkStart w:id="75" w:name="_Toc5545"/>
      <w:bookmarkStart w:id="76" w:name="_Toc4252"/>
      <w:r>
        <w:rPr>
          <w:rFonts w:hint="eastAsia"/>
          <w:b/>
          <w:bCs/>
          <w:szCs w:val="28"/>
        </w:rPr>
        <w:t>四、与国际、国外同类标准技术内容的对比情况</w:t>
      </w:r>
      <w:bookmarkEnd w:id="74"/>
      <w:bookmarkEnd w:id="75"/>
      <w:bookmarkEnd w:id="76"/>
    </w:p>
    <w:p w14:paraId="45F45573">
      <w:pPr>
        <w:numPr>
          <w:ilvl w:val="255"/>
          <w:numId w:val="0"/>
        </w:numPr>
        <w:spacing w:line="480" w:lineRule="exact"/>
        <w:ind w:firstLine="420" w:firstLineChars="200"/>
        <w:rPr>
          <w:rFonts w:cs="仿宋"/>
          <w:szCs w:val="28"/>
        </w:rPr>
      </w:pPr>
      <w:r>
        <w:rPr>
          <w:rFonts w:hint="eastAsia" w:cs="仿宋"/>
          <w:szCs w:val="28"/>
        </w:rPr>
        <w:t>本标准不涉及与国外标准技术内容的对比，也不涉及对现有国际标准和国外先进标准的采用。</w:t>
      </w:r>
    </w:p>
    <w:p w14:paraId="08885D24">
      <w:pPr>
        <w:widowControl/>
        <w:spacing w:line="480" w:lineRule="exact"/>
        <w:ind w:firstLine="422" w:firstLineChars="200"/>
        <w:outlineLvl w:val="0"/>
        <w:rPr>
          <w:b/>
          <w:bCs/>
          <w:szCs w:val="28"/>
        </w:rPr>
      </w:pPr>
      <w:bookmarkStart w:id="77" w:name="_Toc16428"/>
      <w:bookmarkStart w:id="78" w:name="_Toc652"/>
      <w:bookmarkStart w:id="79" w:name="_Toc16364"/>
      <w:r>
        <w:rPr>
          <w:rFonts w:hint="eastAsia"/>
          <w:b/>
          <w:bCs/>
          <w:szCs w:val="28"/>
        </w:rPr>
        <w:t>五、以国际标准为基础的起草情况，以及是否合规引用或者采用国际国外标准，并说明未采用国际标准的原因</w:t>
      </w:r>
      <w:bookmarkEnd w:id="77"/>
      <w:bookmarkEnd w:id="78"/>
    </w:p>
    <w:p w14:paraId="66242D66">
      <w:pPr>
        <w:widowControl/>
        <w:autoSpaceDE w:val="0"/>
        <w:autoSpaceDN w:val="0"/>
        <w:adjustRightInd w:val="0"/>
        <w:spacing w:line="480" w:lineRule="exact"/>
        <w:ind w:firstLine="420" w:firstLineChars="200"/>
        <w:jc w:val="left"/>
        <w:rPr>
          <w:rFonts w:cs="仿宋"/>
          <w:szCs w:val="28"/>
        </w:rPr>
      </w:pPr>
      <w:r>
        <w:rPr>
          <w:rFonts w:hint="eastAsia" w:cs="仿宋"/>
          <w:szCs w:val="28"/>
        </w:rPr>
        <w:t>本标准未以国际标准为基础起草，也未</w:t>
      </w:r>
      <w:r>
        <w:rPr>
          <w:rFonts w:hint="eastAsia"/>
          <w:szCs w:val="28"/>
        </w:rPr>
        <w:t>引用或者采用国际国外标准</w:t>
      </w:r>
      <w:r>
        <w:rPr>
          <w:rFonts w:hint="eastAsia" w:cs="仿宋"/>
          <w:szCs w:val="28"/>
        </w:rPr>
        <w:t>，主要原因是我国具有大国小农突出特色，与西方发达国家国情较为不同。</w:t>
      </w:r>
    </w:p>
    <w:p w14:paraId="51640FAB">
      <w:pPr>
        <w:widowControl/>
        <w:spacing w:line="480" w:lineRule="exact"/>
        <w:ind w:firstLine="422" w:firstLineChars="200"/>
        <w:outlineLvl w:val="0"/>
        <w:rPr>
          <w:b/>
          <w:bCs/>
          <w:szCs w:val="28"/>
        </w:rPr>
      </w:pPr>
      <w:bookmarkStart w:id="80" w:name="_Toc17343"/>
      <w:bookmarkStart w:id="81" w:name="_Toc32375"/>
      <w:r>
        <w:rPr>
          <w:rFonts w:hint="eastAsia"/>
          <w:b/>
          <w:bCs/>
          <w:szCs w:val="28"/>
        </w:rPr>
        <w:t>六、与有关法律、行政法规及相关标准的关系</w:t>
      </w:r>
      <w:bookmarkEnd w:id="79"/>
      <w:bookmarkEnd w:id="80"/>
      <w:bookmarkEnd w:id="81"/>
    </w:p>
    <w:p w14:paraId="2EE2C56D">
      <w:pPr>
        <w:spacing w:line="480" w:lineRule="exact"/>
        <w:ind w:firstLine="420" w:firstLineChars="200"/>
        <w:rPr>
          <w:rFonts w:cs="仿宋"/>
          <w:szCs w:val="28"/>
        </w:rPr>
      </w:pPr>
      <w:r>
        <w:rPr>
          <w:rFonts w:hint="eastAsia" w:cs="仿宋"/>
          <w:szCs w:val="28"/>
        </w:rPr>
        <w:t>本标准的编制符合相关国家法律法规的规定和强制性标准的要求。目前国内尚无智慧农资连锁网点建设与管理规范的行业或国家标准发布实施，因此，本标准在制定过程中，充分参照和引证了国家及有关部门在相关领域已发布的国标、行标及地标。在此基础上，本标准立足于农资连锁网点的实际，聚焦其智慧化建设的关键环节，对相关标准要求进行了整合与细化，作出了更具针对性和操作性的规定。</w:t>
      </w:r>
    </w:p>
    <w:bookmarkEnd w:id="66"/>
    <w:bookmarkEnd w:id="67"/>
    <w:bookmarkEnd w:id="68"/>
    <w:bookmarkEnd w:id="69"/>
    <w:bookmarkEnd w:id="70"/>
    <w:bookmarkEnd w:id="71"/>
    <w:bookmarkEnd w:id="72"/>
    <w:p w14:paraId="06253D8A">
      <w:pPr>
        <w:widowControl/>
        <w:spacing w:line="480" w:lineRule="exact"/>
        <w:ind w:firstLine="422" w:firstLineChars="200"/>
        <w:outlineLvl w:val="0"/>
        <w:rPr>
          <w:b/>
          <w:bCs/>
          <w:szCs w:val="28"/>
        </w:rPr>
      </w:pPr>
      <w:bookmarkStart w:id="82" w:name="_Toc14115"/>
      <w:bookmarkStart w:id="83" w:name="_Toc1137"/>
      <w:bookmarkStart w:id="84" w:name="_Toc6925"/>
      <w:bookmarkStart w:id="85" w:name="_Toc18187"/>
      <w:bookmarkStart w:id="86" w:name="_Toc4635"/>
      <w:bookmarkStart w:id="87" w:name="_Toc25722"/>
      <w:bookmarkStart w:id="88" w:name="_Toc23407"/>
      <w:bookmarkStart w:id="89" w:name="_Toc29680"/>
      <w:bookmarkStart w:id="90" w:name="_Toc4102"/>
      <w:bookmarkStart w:id="91" w:name="_Toc20384"/>
      <w:bookmarkStart w:id="92" w:name="_Toc30005"/>
      <w:bookmarkStart w:id="93" w:name="_Toc20883"/>
      <w:bookmarkStart w:id="94" w:name="_Toc23333"/>
      <w:bookmarkStart w:id="95" w:name="_Toc24853"/>
      <w:r>
        <w:rPr>
          <w:rFonts w:hint="eastAsia"/>
          <w:b/>
          <w:bCs/>
          <w:szCs w:val="28"/>
        </w:rPr>
        <w:t>七、重大分歧意见的处理经过和依据</w:t>
      </w:r>
      <w:bookmarkEnd w:id="82"/>
      <w:bookmarkEnd w:id="83"/>
      <w:bookmarkEnd w:id="84"/>
    </w:p>
    <w:bookmarkEnd w:id="85"/>
    <w:bookmarkEnd w:id="86"/>
    <w:bookmarkEnd w:id="87"/>
    <w:bookmarkEnd w:id="88"/>
    <w:bookmarkEnd w:id="89"/>
    <w:bookmarkEnd w:id="90"/>
    <w:bookmarkEnd w:id="91"/>
    <w:p w14:paraId="3F0DFE53">
      <w:pPr>
        <w:pStyle w:val="27"/>
        <w:tabs>
          <w:tab w:val="center" w:pos="4201"/>
          <w:tab w:val="right" w:leader="dot" w:pos="9298"/>
        </w:tabs>
        <w:spacing w:line="480" w:lineRule="exact"/>
        <w:ind w:firstLine="420"/>
        <w:rPr>
          <w:rFonts w:ascii="Times New Roman" w:cs="仿宋"/>
          <w:szCs w:val="28"/>
        </w:rPr>
      </w:pPr>
      <w:r>
        <w:rPr>
          <w:rFonts w:hint="eastAsia" w:ascii="Times New Roman" w:cs="仿宋"/>
          <w:szCs w:val="28"/>
        </w:rPr>
        <w:t>本标准在制定过程中未出现重大分歧意见。</w:t>
      </w:r>
    </w:p>
    <w:p w14:paraId="47A1C876">
      <w:pPr>
        <w:widowControl/>
        <w:spacing w:line="480" w:lineRule="exact"/>
        <w:ind w:firstLine="422" w:firstLineChars="200"/>
        <w:outlineLvl w:val="0"/>
        <w:rPr>
          <w:b/>
          <w:bCs/>
          <w:szCs w:val="28"/>
        </w:rPr>
      </w:pPr>
      <w:bookmarkStart w:id="96" w:name="_Toc3148"/>
      <w:bookmarkStart w:id="97" w:name="_Toc22391"/>
      <w:bookmarkStart w:id="98" w:name="_Toc32753"/>
      <w:bookmarkStart w:id="99" w:name="_Toc1094"/>
      <w:bookmarkStart w:id="100" w:name="_Toc330"/>
      <w:bookmarkStart w:id="101" w:name="_Toc3259"/>
      <w:r>
        <w:rPr>
          <w:rFonts w:hint="eastAsia"/>
          <w:b/>
          <w:bCs/>
          <w:szCs w:val="28"/>
        </w:rPr>
        <w:t>八、涉及专利的有关说明</w:t>
      </w:r>
      <w:bookmarkEnd w:id="96"/>
      <w:bookmarkEnd w:id="97"/>
      <w:bookmarkEnd w:id="98"/>
    </w:p>
    <w:bookmarkEnd w:id="99"/>
    <w:bookmarkEnd w:id="100"/>
    <w:p w14:paraId="40C5627E">
      <w:pPr>
        <w:tabs>
          <w:tab w:val="center" w:pos="4201"/>
          <w:tab w:val="right" w:leader="dot" w:pos="9298"/>
        </w:tabs>
        <w:spacing w:line="480" w:lineRule="exact"/>
        <w:ind w:firstLine="420" w:firstLineChars="200"/>
        <w:outlineLvl w:val="0"/>
        <w:rPr>
          <w:rFonts w:cs="仿宋"/>
          <w:szCs w:val="28"/>
        </w:rPr>
      </w:pPr>
      <w:bookmarkStart w:id="102" w:name="_Toc25127"/>
      <w:bookmarkStart w:id="103" w:name="_Toc16835"/>
      <w:bookmarkStart w:id="104" w:name="_Toc12530"/>
      <w:r>
        <w:rPr>
          <w:rFonts w:hint="eastAsia" w:cs="仿宋"/>
          <w:szCs w:val="28"/>
        </w:rPr>
        <w:t>本标准不涉及专利问题。</w:t>
      </w:r>
      <w:bookmarkEnd w:id="102"/>
      <w:bookmarkEnd w:id="103"/>
      <w:bookmarkEnd w:id="104"/>
    </w:p>
    <w:bookmarkEnd w:id="92"/>
    <w:bookmarkEnd w:id="93"/>
    <w:bookmarkEnd w:id="94"/>
    <w:bookmarkEnd w:id="95"/>
    <w:bookmarkEnd w:id="101"/>
    <w:p w14:paraId="6D955BDA">
      <w:pPr>
        <w:spacing w:line="480" w:lineRule="exact"/>
        <w:ind w:firstLine="422" w:firstLineChars="200"/>
        <w:outlineLvl w:val="0"/>
        <w:rPr>
          <w:b/>
          <w:bCs/>
          <w:szCs w:val="28"/>
        </w:rPr>
      </w:pPr>
      <w:bookmarkStart w:id="105" w:name="_Toc31155"/>
      <w:bookmarkStart w:id="106" w:name="_Toc24313"/>
      <w:bookmarkStart w:id="107" w:name="_Toc13094"/>
      <w:bookmarkStart w:id="108" w:name="_Toc7999"/>
      <w:bookmarkStart w:id="109" w:name="_Toc30561"/>
      <w:bookmarkStart w:id="110" w:name="_Toc2646"/>
      <w:r>
        <w:rPr>
          <w:rFonts w:hint="eastAsia"/>
          <w:b/>
          <w:bCs/>
          <w:szCs w:val="28"/>
        </w:rPr>
        <w:t>九、实施行业标准的要求，以及组织措施、技术措施、过渡期和实施日期的建议等措施建议</w:t>
      </w:r>
      <w:bookmarkEnd w:id="105"/>
      <w:bookmarkEnd w:id="106"/>
      <w:bookmarkEnd w:id="107"/>
      <w:bookmarkEnd w:id="108"/>
      <w:bookmarkEnd w:id="109"/>
      <w:bookmarkEnd w:id="110"/>
    </w:p>
    <w:p w14:paraId="4D8ADA39">
      <w:pPr>
        <w:spacing w:line="480" w:lineRule="exact"/>
        <w:ind w:firstLine="420" w:firstLineChars="200"/>
        <w:rPr>
          <w:rFonts w:cs="仿宋"/>
          <w:szCs w:val="28"/>
        </w:rPr>
      </w:pPr>
      <w:r>
        <w:rPr>
          <w:rFonts w:hint="eastAsia" w:cs="仿宋"/>
          <w:szCs w:val="28"/>
        </w:rPr>
        <w:t>本标准为行业标准，建议作为推荐性标准发布实施。本标准发布后，建议立即实施并做好标准的宣贯与培训工作，及时向农资行业相关企业进行宣传推广，促进标准的落地实施</w:t>
      </w:r>
      <w:r>
        <w:rPr>
          <w:rFonts w:cs="仿宋"/>
          <w:szCs w:val="28"/>
        </w:rPr>
        <w:t>。</w:t>
      </w:r>
    </w:p>
    <w:p w14:paraId="384D80C3">
      <w:pPr>
        <w:spacing w:line="480" w:lineRule="exact"/>
        <w:ind w:firstLine="422" w:firstLineChars="200"/>
        <w:outlineLvl w:val="0"/>
        <w:rPr>
          <w:b/>
          <w:bCs/>
          <w:szCs w:val="28"/>
        </w:rPr>
      </w:pPr>
      <w:bookmarkStart w:id="111" w:name="_Toc12012"/>
      <w:bookmarkStart w:id="112" w:name="_Toc9050"/>
      <w:bookmarkStart w:id="113" w:name="_Toc14520"/>
      <w:bookmarkStart w:id="114" w:name="_Toc15310"/>
      <w:bookmarkStart w:id="115" w:name="_Toc3062"/>
      <w:bookmarkStart w:id="116" w:name="_Toc1117"/>
      <w:bookmarkStart w:id="117" w:name="_Toc24527"/>
      <w:bookmarkStart w:id="118" w:name="_Toc1533"/>
      <w:bookmarkStart w:id="119" w:name="_Toc20920"/>
      <w:bookmarkStart w:id="120" w:name="_Toc13927"/>
      <w:bookmarkStart w:id="121" w:name="_Toc24899"/>
      <w:bookmarkStart w:id="122" w:name="_Toc5606"/>
      <w:r>
        <w:rPr>
          <w:rFonts w:hint="eastAsia"/>
          <w:b/>
          <w:bCs/>
          <w:szCs w:val="28"/>
        </w:rPr>
        <w:t>十、其他应当说明的事项</w:t>
      </w:r>
      <w:bookmarkEnd w:id="111"/>
      <w:bookmarkEnd w:id="112"/>
      <w:bookmarkEnd w:id="113"/>
      <w:bookmarkEnd w:id="114"/>
      <w:bookmarkEnd w:id="115"/>
      <w:bookmarkEnd w:id="116"/>
      <w:bookmarkEnd w:id="117"/>
      <w:bookmarkEnd w:id="118"/>
      <w:bookmarkEnd w:id="119"/>
    </w:p>
    <w:bookmarkEnd w:id="120"/>
    <w:bookmarkEnd w:id="121"/>
    <w:bookmarkEnd w:id="122"/>
    <w:p w14:paraId="2AC84BAD">
      <w:pPr>
        <w:spacing w:line="480" w:lineRule="exact"/>
        <w:ind w:firstLine="420" w:firstLineChars="200"/>
        <w:rPr>
          <w:rFonts w:cs="仿宋"/>
          <w:szCs w:val="28"/>
        </w:rPr>
      </w:pPr>
      <w:r>
        <w:rPr>
          <w:rFonts w:hint="eastAsia" w:cs="仿宋"/>
          <w:szCs w:val="28"/>
        </w:rPr>
        <w:t>无。</w:t>
      </w:r>
    </w:p>
    <w:p w14:paraId="4BC51EAD">
      <w:pPr>
        <w:spacing w:line="480" w:lineRule="exact"/>
        <w:ind w:firstLine="380" w:firstLineChars="200"/>
        <w:jc w:val="left"/>
        <w:rPr>
          <w:rStyle w:val="17"/>
          <w:rFonts w:ascii="Arial" w:hAnsi="Arial" w:cs="Arial"/>
          <w:color w:val="F73131"/>
          <w:sz w:val="19"/>
          <w:szCs w:val="19"/>
          <w:shd w:val="clear" w:color="auto" w:fill="FFFFFF"/>
        </w:rPr>
      </w:pPr>
    </w:p>
    <w:bookmarkEnd w:id="73"/>
    <w:p w14:paraId="325683E0">
      <w:pPr>
        <w:autoSpaceDE w:val="0"/>
        <w:autoSpaceDN w:val="0"/>
        <w:adjustRightInd w:val="0"/>
        <w:spacing w:line="480" w:lineRule="exact"/>
        <w:ind w:firstLine="420" w:firstLineChars="200"/>
        <w:jc w:val="right"/>
        <w:rPr>
          <w:rFonts w:cs="仿宋"/>
          <w:szCs w:val="28"/>
        </w:rPr>
      </w:pPr>
      <w:r>
        <w:rPr>
          <w:rFonts w:hint="eastAsia" w:ascii="仿宋_GB2312" w:eastAsia="仿宋_GB2312"/>
        </w:rPr>
        <w:t xml:space="preserve">                            </w:t>
      </w:r>
      <w:r>
        <w:rPr>
          <w:rFonts w:hint="eastAsia" w:cs="仿宋"/>
          <w:szCs w:val="28"/>
        </w:rPr>
        <w:t>《智慧农资连锁网点建设与管理规范》</w:t>
      </w:r>
    </w:p>
    <w:p w14:paraId="6726C409">
      <w:pPr>
        <w:autoSpaceDE w:val="0"/>
        <w:autoSpaceDN w:val="0"/>
        <w:adjustRightInd w:val="0"/>
        <w:spacing w:line="480" w:lineRule="exact"/>
        <w:ind w:firstLine="420" w:firstLineChars="200"/>
        <w:jc w:val="right"/>
        <w:rPr>
          <w:rFonts w:cs="仿宋"/>
          <w:szCs w:val="28"/>
        </w:rPr>
      </w:pPr>
      <w:r>
        <w:rPr>
          <w:rFonts w:hint="eastAsia" w:cs="仿宋"/>
          <w:szCs w:val="28"/>
        </w:rPr>
        <w:t>供销合作行业标准编制组</w:t>
      </w:r>
    </w:p>
    <w:p w14:paraId="1B160C41">
      <w:pPr>
        <w:autoSpaceDE w:val="0"/>
        <w:autoSpaceDN w:val="0"/>
        <w:adjustRightInd w:val="0"/>
        <w:spacing w:line="480" w:lineRule="exact"/>
        <w:ind w:firstLine="420" w:firstLineChars="200"/>
        <w:jc w:val="right"/>
        <w:rPr>
          <w:rFonts w:cs="仿宋"/>
          <w:szCs w:val="28"/>
        </w:rPr>
      </w:pPr>
      <w:r>
        <w:rPr>
          <w:rFonts w:hint="eastAsia" w:cs="仿宋"/>
          <w:szCs w:val="28"/>
        </w:rPr>
        <w:t>2025年11月</w:t>
      </w:r>
    </w:p>
    <w:sectPr>
      <w:pgSz w:w="11906" w:h="16838"/>
      <w:pgMar w:top="1134" w:right="1287" w:bottom="1134" w:left="1797"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10022FF" w:usb1="C000E47F" w:usb2="00000029" w:usb3="00000000" w:csb0="200001DF" w:csb1="2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FD81E">
    <w:pPr>
      <w:pStyle w:val="9"/>
      <w:framePr w:wrap="around" w:vAnchor="text" w:hAnchor="margin" w:xAlign="center" w:y="1"/>
      <w:rPr>
        <w:rStyle w:val="16"/>
      </w:rPr>
    </w:pPr>
    <w:r>
      <w:fldChar w:fldCharType="begin"/>
    </w:r>
    <w:r>
      <w:rPr>
        <w:rStyle w:val="16"/>
      </w:rPr>
      <w:instrText xml:space="preserve">PAGE  </w:instrText>
    </w:r>
    <w:r>
      <w:fldChar w:fldCharType="separate"/>
    </w:r>
    <w:r>
      <w:rPr>
        <w:rStyle w:val="16"/>
      </w:rPr>
      <w:t>4</w:t>
    </w:r>
    <w:r>
      <w:fldChar w:fldCharType="end"/>
    </w:r>
  </w:p>
  <w:p w14:paraId="4B46EC1E">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42695">
    <w:pPr>
      <w:pStyle w:val="9"/>
      <w:framePr w:wrap="around" w:vAnchor="text" w:hAnchor="margin" w:xAlign="center" w:y="1"/>
      <w:rPr>
        <w:rStyle w:val="16"/>
      </w:rPr>
    </w:pPr>
    <w:r>
      <w:fldChar w:fldCharType="begin"/>
    </w:r>
    <w:r>
      <w:rPr>
        <w:rStyle w:val="16"/>
      </w:rPr>
      <w:instrText xml:space="preserve">PAGE  </w:instrText>
    </w:r>
    <w:r>
      <w:fldChar w:fldCharType="end"/>
    </w:r>
  </w:p>
  <w:p w14:paraId="151D3980">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418BE">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D9E0C">
    <w:pPr>
      <w:pStyle w:val="1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51F73">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D8A32">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B8265E"/>
    <w:multiLevelType w:val="multilevel"/>
    <w:tmpl w:val="2DB8265E"/>
    <w:lvl w:ilvl="0" w:tentative="0">
      <w:start w:val="1"/>
      <w:numFmt w:val="decimal"/>
      <w:pStyle w:val="2"/>
      <w:lvlText w:val="%1"/>
      <w:lvlJc w:val="left"/>
      <w:pPr>
        <w:tabs>
          <w:tab w:val="left" w:pos="425"/>
        </w:tabs>
        <w:ind w:left="425" w:hanging="425"/>
      </w:pPr>
      <w:rPr>
        <w:rFonts w:hint="eastAsia" w:ascii="黑体" w:hAnsi="黑体" w:eastAsia="黑体"/>
      </w:rPr>
    </w:lvl>
    <w:lvl w:ilvl="1" w:tentative="0">
      <w:start w:val="1"/>
      <w:numFmt w:val="decimal"/>
      <w:lvlText w:val="%1.%2"/>
      <w:lvlJc w:val="left"/>
      <w:pPr>
        <w:tabs>
          <w:tab w:val="left" w:pos="567"/>
        </w:tabs>
        <w:ind w:left="567" w:hanging="567"/>
      </w:pPr>
      <w:rPr>
        <w:rFonts w:hint="eastAsia" w:ascii="黑体" w:hAnsi="黑体" w:eastAsia="黑体"/>
        <w:sz w:val="24"/>
        <w:szCs w:val="24"/>
      </w:rPr>
    </w:lvl>
    <w:lvl w:ilvl="2" w:tentative="0">
      <w:start w:val="1"/>
      <w:numFmt w:val="decimal"/>
      <w:lvlText w:val="%1.%2.%3"/>
      <w:lvlJc w:val="left"/>
      <w:pPr>
        <w:tabs>
          <w:tab w:val="left" w:pos="709"/>
        </w:tabs>
        <w:ind w:left="709" w:hanging="709"/>
      </w:pPr>
      <w:rPr>
        <w:rFonts w:hint="eastAsia" w:ascii="黑体" w:hAnsi="黑体" w:eastAsia="黑体"/>
      </w:rPr>
    </w:lvl>
    <w:lvl w:ilvl="3" w:tentative="0">
      <w:start w:val="1"/>
      <w:numFmt w:val="decimal"/>
      <w:suff w:val="nothing"/>
      <w:lvlText w:val="（%4）"/>
      <w:lvlJc w:val="left"/>
      <w:pPr>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trackRevisions w:val="1"/>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2YWFlNDlhN2Q2YmU4MzFlYWQ1NzY3NmYxYjU1YjAifQ=="/>
  </w:docVars>
  <w:rsids>
    <w:rsidRoot w:val="00002201"/>
    <w:rsid w:val="00002201"/>
    <w:rsid w:val="000D6033"/>
    <w:rsid w:val="000E589E"/>
    <w:rsid w:val="0011522A"/>
    <w:rsid w:val="00136063"/>
    <w:rsid w:val="00180A99"/>
    <w:rsid w:val="00181BCB"/>
    <w:rsid w:val="00184984"/>
    <w:rsid w:val="0018770E"/>
    <w:rsid w:val="001A7001"/>
    <w:rsid w:val="002A1C34"/>
    <w:rsid w:val="002F36B0"/>
    <w:rsid w:val="00306A1E"/>
    <w:rsid w:val="003A7FF0"/>
    <w:rsid w:val="00400F2E"/>
    <w:rsid w:val="004406C0"/>
    <w:rsid w:val="004A5F40"/>
    <w:rsid w:val="005619E3"/>
    <w:rsid w:val="005C4477"/>
    <w:rsid w:val="005E3E94"/>
    <w:rsid w:val="00630C68"/>
    <w:rsid w:val="00671599"/>
    <w:rsid w:val="006E208A"/>
    <w:rsid w:val="006E328F"/>
    <w:rsid w:val="00721294"/>
    <w:rsid w:val="00761B90"/>
    <w:rsid w:val="00847434"/>
    <w:rsid w:val="008A5679"/>
    <w:rsid w:val="008D5D92"/>
    <w:rsid w:val="00905F31"/>
    <w:rsid w:val="00923C44"/>
    <w:rsid w:val="00947202"/>
    <w:rsid w:val="00A06DF8"/>
    <w:rsid w:val="00A44760"/>
    <w:rsid w:val="00B267D6"/>
    <w:rsid w:val="00B67603"/>
    <w:rsid w:val="00B7058D"/>
    <w:rsid w:val="00BB109F"/>
    <w:rsid w:val="00BE746C"/>
    <w:rsid w:val="00C9326E"/>
    <w:rsid w:val="00D16B65"/>
    <w:rsid w:val="00D24076"/>
    <w:rsid w:val="00DC2E5C"/>
    <w:rsid w:val="00DC3188"/>
    <w:rsid w:val="00DD6D19"/>
    <w:rsid w:val="00E05816"/>
    <w:rsid w:val="00E73BE4"/>
    <w:rsid w:val="00F72613"/>
    <w:rsid w:val="04D33EA3"/>
    <w:rsid w:val="0722121F"/>
    <w:rsid w:val="0E975558"/>
    <w:rsid w:val="121641AC"/>
    <w:rsid w:val="1AFD5359"/>
    <w:rsid w:val="1E4E315B"/>
    <w:rsid w:val="237D12F0"/>
    <w:rsid w:val="25215CA5"/>
    <w:rsid w:val="27525CCF"/>
    <w:rsid w:val="29314332"/>
    <w:rsid w:val="29E04FA9"/>
    <w:rsid w:val="2B4955B2"/>
    <w:rsid w:val="2DCD6E25"/>
    <w:rsid w:val="38BD6613"/>
    <w:rsid w:val="38F06BD9"/>
    <w:rsid w:val="3B38791B"/>
    <w:rsid w:val="4E916424"/>
    <w:rsid w:val="51D636B3"/>
    <w:rsid w:val="5ADB62E4"/>
    <w:rsid w:val="5F8D24F9"/>
    <w:rsid w:val="5FFD0815"/>
    <w:rsid w:val="681E2B78"/>
    <w:rsid w:val="68BB78B7"/>
    <w:rsid w:val="69147CE3"/>
    <w:rsid w:val="6C6A0780"/>
    <w:rsid w:val="6E320CFC"/>
    <w:rsid w:val="6E5042A8"/>
    <w:rsid w:val="6E516E3C"/>
    <w:rsid w:val="7122388E"/>
    <w:rsid w:val="750A6D84"/>
    <w:rsid w:val="76F4797E"/>
    <w:rsid w:val="7A7014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3"/>
    <w:link w:val="20"/>
    <w:qFormat/>
    <w:uiPriority w:val="0"/>
    <w:pPr>
      <w:keepLines/>
      <w:numPr>
        <w:ilvl w:val="0"/>
        <w:numId w:val="1"/>
      </w:numPr>
      <w:spacing w:before="60" w:after="60"/>
      <w:outlineLvl w:val="0"/>
    </w:pPr>
    <w:rPr>
      <w:rFonts w:eastAsia="黑体"/>
      <w:bCs/>
      <w:kern w:val="44"/>
      <w:sz w:val="28"/>
      <w:szCs w:val="44"/>
    </w:rPr>
  </w:style>
  <w:style w:type="paragraph" w:styleId="4">
    <w:name w:val="heading 2"/>
    <w:basedOn w:val="1"/>
    <w:next w:val="1"/>
    <w:link w:val="2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22"/>
    <w:qFormat/>
    <w:uiPriority w:val="0"/>
    <w:pPr>
      <w:keepNext/>
      <w:keepLines/>
      <w:spacing w:before="260" w:after="260" w:line="416" w:lineRule="auto"/>
      <w:outlineLvl w:val="2"/>
    </w:pPr>
    <w:rPr>
      <w:b/>
      <w:bCs/>
      <w:sz w:val="32"/>
      <w:szCs w:val="32"/>
    </w:rPr>
  </w:style>
  <w:style w:type="character" w:default="1" w:styleId="14">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6">
    <w:name w:val="annotation text"/>
    <w:basedOn w:val="1"/>
    <w:link w:val="23"/>
    <w:qFormat/>
    <w:uiPriority w:val="0"/>
    <w:pPr>
      <w:jc w:val="left"/>
    </w:pPr>
  </w:style>
  <w:style w:type="paragraph" w:styleId="7">
    <w:name w:val="Plain Text"/>
    <w:basedOn w:val="1"/>
    <w:qFormat/>
    <w:uiPriority w:val="0"/>
    <w:rPr>
      <w:rFonts w:ascii="宋体" w:hAnsi="Courier New" w:cs="Courier New"/>
      <w:szCs w:val="21"/>
    </w:r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link w:val="24"/>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0"/>
  </w:style>
  <w:style w:type="paragraph" w:styleId="12">
    <w:name w:val="annotation subject"/>
    <w:basedOn w:val="6"/>
    <w:next w:val="6"/>
    <w:link w:val="25"/>
    <w:qFormat/>
    <w:uiPriority w:val="0"/>
    <w:rPr>
      <w:b/>
      <w:bCs/>
      <w:kern w:val="0"/>
      <w:sz w:val="20"/>
      <w:szCs w:val="20"/>
    </w:rPr>
  </w:style>
  <w:style w:type="character" w:styleId="15">
    <w:name w:val="Strong"/>
    <w:qFormat/>
    <w:uiPriority w:val="0"/>
    <w:rPr>
      <w:b/>
      <w:bCs/>
    </w:rPr>
  </w:style>
  <w:style w:type="character" w:styleId="16">
    <w:name w:val="page number"/>
    <w:qFormat/>
    <w:uiPriority w:val="0"/>
  </w:style>
  <w:style w:type="character" w:styleId="17">
    <w:name w:val="Emphasis"/>
    <w:basedOn w:val="14"/>
    <w:qFormat/>
    <w:uiPriority w:val="0"/>
    <w:rPr>
      <w:i/>
    </w:rPr>
  </w:style>
  <w:style w:type="character" w:styleId="18">
    <w:name w:val="Hyperlink"/>
    <w:qFormat/>
    <w:uiPriority w:val="0"/>
    <w:rPr>
      <w:color w:val="0000FF"/>
      <w:u w:val="single"/>
    </w:rPr>
  </w:style>
  <w:style w:type="character" w:styleId="19">
    <w:name w:val="annotation reference"/>
    <w:qFormat/>
    <w:uiPriority w:val="0"/>
    <w:rPr>
      <w:sz w:val="21"/>
      <w:szCs w:val="21"/>
    </w:rPr>
  </w:style>
  <w:style w:type="character" w:customStyle="1" w:styleId="20">
    <w:name w:val="标题 1 字符"/>
    <w:link w:val="2"/>
    <w:qFormat/>
    <w:uiPriority w:val="0"/>
    <w:rPr>
      <w:rFonts w:eastAsia="黑体"/>
      <w:bCs/>
      <w:kern w:val="44"/>
      <w:sz w:val="28"/>
      <w:szCs w:val="44"/>
      <w:lang w:val="en-US" w:eastAsia="zh-CN" w:bidi="ar-SA"/>
    </w:rPr>
  </w:style>
  <w:style w:type="character" w:customStyle="1" w:styleId="21">
    <w:name w:val="标题 2 字符"/>
    <w:link w:val="4"/>
    <w:qFormat/>
    <w:uiPriority w:val="0"/>
    <w:rPr>
      <w:rFonts w:ascii="Arial" w:hAnsi="Arial" w:eastAsia="黑体"/>
      <w:b/>
      <w:bCs/>
      <w:kern w:val="2"/>
      <w:sz w:val="32"/>
      <w:szCs w:val="32"/>
    </w:rPr>
  </w:style>
  <w:style w:type="character" w:customStyle="1" w:styleId="22">
    <w:name w:val="标题 3 字符"/>
    <w:link w:val="5"/>
    <w:qFormat/>
    <w:uiPriority w:val="0"/>
    <w:rPr>
      <w:b/>
      <w:bCs/>
      <w:kern w:val="2"/>
      <w:sz w:val="32"/>
      <w:szCs w:val="32"/>
    </w:rPr>
  </w:style>
  <w:style w:type="character" w:customStyle="1" w:styleId="23">
    <w:name w:val="批注文字 字符"/>
    <w:link w:val="6"/>
    <w:qFormat/>
    <w:uiPriority w:val="0"/>
    <w:rPr>
      <w:kern w:val="2"/>
      <w:sz w:val="21"/>
      <w:szCs w:val="24"/>
    </w:rPr>
  </w:style>
  <w:style w:type="character" w:customStyle="1" w:styleId="24">
    <w:name w:val="页眉 字符"/>
    <w:link w:val="10"/>
    <w:qFormat/>
    <w:uiPriority w:val="0"/>
    <w:rPr>
      <w:kern w:val="2"/>
      <w:sz w:val="18"/>
      <w:szCs w:val="18"/>
    </w:rPr>
  </w:style>
  <w:style w:type="character" w:customStyle="1" w:styleId="25">
    <w:name w:val="批注主题 字符"/>
    <w:link w:val="12"/>
    <w:qFormat/>
    <w:uiPriority w:val="0"/>
    <w:rPr>
      <w:b/>
      <w:bCs/>
    </w:rPr>
  </w:style>
  <w:style w:type="character" w:customStyle="1" w:styleId="26">
    <w:name w:val="段 Char"/>
    <w:link w:val="27"/>
    <w:qFormat/>
    <w:uiPriority w:val="0"/>
    <w:rPr>
      <w:rFonts w:ascii="宋体"/>
      <w:sz w:val="21"/>
      <w:lang w:val="en-US" w:eastAsia="zh-CN" w:bidi="ar-SA"/>
    </w:rPr>
  </w:style>
  <w:style w:type="paragraph" w:customStyle="1" w:styleId="27">
    <w:name w:val="段"/>
    <w:link w:val="26"/>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8">
    <w:name w:val="txtcontent11"/>
    <w:qFormat/>
    <w:uiPriority w:val="0"/>
    <w:rPr>
      <w:rFonts w:hint="default" w:ascii="ˎ̥" w:hAnsi="ˎ̥"/>
      <w:color w:val="000000"/>
      <w:sz w:val="21"/>
      <w:szCs w:val="21"/>
    </w:rPr>
  </w:style>
  <w:style w:type="paragraph" w:styleId="29">
    <w:name w:val="List Paragraph"/>
    <w:basedOn w:val="1"/>
    <w:qFormat/>
    <w:uiPriority w:val="0"/>
    <w:pPr>
      <w:ind w:firstLine="420" w:firstLineChars="200"/>
    </w:pPr>
  </w:style>
  <w:style w:type="paragraph" w:customStyle="1" w:styleId="30">
    <w:name w:val="列表段落1"/>
    <w:basedOn w:val="1"/>
    <w:qFormat/>
    <w:uiPriority w:val="0"/>
    <w:pPr>
      <w:ind w:firstLine="420" w:firstLineChars="200"/>
    </w:pPr>
    <w:rPr>
      <w:rFonts w:ascii="Calibri" w:hAnsi="Calibri"/>
      <w:szCs w:val="22"/>
    </w:rPr>
  </w:style>
  <w:style w:type="paragraph" w:customStyle="1" w:styleId="31">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32">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33">
    <w:name w:val="1 Char"/>
    <w:basedOn w:val="1"/>
    <w:next w:val="1"/>
    <w:qFormat/>
    <w:uiPriority w:val="0"/>
    <w:pPr>
      <w:widowControl/>
      <w:spacing w:before="120" w:after="120"/>
      <w:jc w:val="left"/>
    </w:pPr>
    <w:rPr>
      <w:szCs w:val="20"/>
    </w:rPr>
  </w:style>
  <w:style w:type="paragraph" w:customStyle="1" w:styleId="34">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5">
    <w:name w:val="WPSOffice手动目录 1"/>
    <w:qFormat/>
    <w:uiPriority w:val="0"/>
    <w:rPr>
      <w:rFonts w:ascii="Times New Roman" w:hAnsi="Times New Roman" w:eastAsia="宋体" w:cs="Times New Roman"/>
      <w:lang w:val="en-US" w:eastAsia="zh-CN" w:bidi="ar-SA"/>
    </w:rPr>
  </w:style>
  <w:style w:type="paragraph" w:customStyle="1" w:styleId="36">
    <w:name w:val="修订1"/>
    <w:qFormat/>
    <w:uiPriority w:val="99"/>
    <w:rPr>
      <w:rFonts w:ascii="Times New Roman" w:hAnsi="Times New Roman" w:eastAsia="宋体" w:cs="Times New Roman"/>
      <w:kern w:val="2"/>
      <w:sz w:val="21"/>
      <w:szCs w:val="24"/>
      <w:lang w:val="en-US" w:eastAsia="zh-CN" w:bidi="ar-SA"/>
    </w:rPr>
  </w:style>
  <w:style w:type="paragraph" w:customStyle="1" w:styleId="37">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6140</Words>
  <Characters>6317</Characters>
  <Lines>50</Lines>
  <Paragraphs>14</Paragraphs>
  <TotalTime>3</TotalTime>
  <ScaleCrop>false</ScaleCrop>
  <LinksUpToDate>false</LinksUpToDate>
  <CharactersWithSpaces>6391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2023-02-07T16:27:00Z</dcterms:created>
  <dc:creator>71</dc:creator>
  <cp:lastModifiedBy>董振波</cp:lastModifiedBy>
  <cp:lastPrinted>2023-02-23T07:31:00Z</cp:lastPrinted>
  <dcterms:modified xsi:type="dcterms:W3CDTF">2025-11-14T06:15:20Z</dcterms:modified>
  <dc:title>《制表用纯钛板材》</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3F95CDDBF8D646EEB306120B5CB1DE49_13</vt:lpwstr>
  </property>
  <property fmtid="{D5CDD505-2E9C-101B-9397-08002B2CF9AE}" pid="4" name="KSOTemplateDocerSaveRecord">
    <vt:lpwstr>eyJoZGlkIjoiYjY4Yjg0ZWZhODFjY2E5NDM3NjA1YTI5N2ZhNDdjNDciLCJ1c2VySWQiOiIzOTAzMzg5NjEifQ==</vt:lpwstr>
  </property>
</Properties>
</file>