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7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093"/>
        <w:gridCol w:w="789"/>
        <w:gridCol w:w="940"/>
        <w:gridCol w:w="1188"/>
        <w:gridCol w:w="1490"/>
        <w:gridCol w:w="1392"/>
        <w:gridCol w:w="1598"/>
        <w:gridCol w:w="1741"/>
        <w:gridCol w:w="1258"/>
        <w:gridCol w:w="1228"/>
      </w:tblGrid>
      <w:tr w14:paraId="1D403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994EB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附件1：</w:t>
            </w:r>
          </w:p>
          <w:p w14:paraId="6F72AC12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bookmarkStart w:id="0" w:name="_Hlk95113313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2026</w:t>
            </w:r>
            <w:r>
              <w:rPr>
                <w:rStyle w:val="39"/>
                <w:rFonts w:hint="default" w:ascii="方正小标宋简体" w:hAnsi="方正小标宋简体" w:eastAsia="方正小标宋简体" w:cs="方正小标宋简体"/>
                <w:sz w:val="36"/>
                <w:szCs w:val="36"/>
              </w:rPr>
              <w:t>年中国农资流通协会保供重点农资企业自荐/推荐表</w:t>
            </w:r>
            <w:bookmarkEnd w:id="0"/>
          </w:p>
        </w:tc>
      </w:tr>
      <w:tr w14:paraId="59F5A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3485" w:type="pct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AFBC6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企业基本情况</w:t>
            </w:r>
          </w:p>
        </w:tc>
        <w:tc>
          <w:tcPr>
            <w:tcW w:w="1514" w:type="pct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ADA763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供应能力基本指标</w:t>
            </w:r>
          </w:p>
        </w:tc>
      </w:tr>
      <w:tr w14:paraId="1655D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F1D4A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B775CF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注册地（省级）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362AD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企业信用等级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16ACB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42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AED835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D4485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2025年营业收入（万元）</w:t>
            </w:r>
          </w:p>
        </w:tc>
        <w:tc>
          <w:tcPr>
            <w:tcW w:w="49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EE72F9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是否为2025年协会保供名单企业</w:t>
            </w:r>
          </w:p>
        </w:tc>
        <w:tc>
          <w:tcPr>
            <w:tcW w:w="56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1A218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是否为全国农资保供平台企业</w:t>
            </w:r>
          </w:p>
        </w:tc>
        <w:tc>
          <w:tcPr>
            <w:tcW w:w="62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85182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供应农资种类</w:t>
            </w:r>
          </w:p>
        </w:tc>
        <w:tc>
          <w:tcPr>
            <w:tcW w:w="45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3FD51F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2025</w:t>
            </w:r>
            <w:r>
              <w:rPr>
                <w:rStyle w:val="40"/>
                <w:rFonts w:hint="default" w:hAnsi="仿宋_GB2312"/>
              </w:rPr>
              <w:t>年销售量</w:t>
            </w:r>
          </w:p>
        </w:tc>
        <w:tc>
          <w:tcPr>
            <w:tcW w:w="43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83F100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可供应区域（省市县）</w:t>
            </w:r>
          </w:p>
        </w:tc>
      </w:tr>
      <w:tr w14:paraId="63707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1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7CD167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A7A46BF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283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FF8B746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337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39BC083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9353164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534" w:type="pct"/>
            <w:vMerge w:val="restart"/>
            <w:tcBorders>
              <w:top w:val="nil"/>
              <w:left w:val="nil"/>
              <w:right w:val="single" w:color="000000" w:sz="8" w:space="0"/>
            </w:tcBorders>
            <w:vAlign w:val="center"/>
          </w:tcPr>
          <w:p w14:paraId="28B48DF7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499" w:type="pct"/>
            <w:vMerge w:val="restart"/>
            <w:tcBorders>
              <w:top w:val="nil"/>
              <w:left w:val="nil"/>
              <w:right w:val="single" w:color="000000" w:sz="8" w:space="0"/>
            </w:tcBorders>
            <w:vAlign w:val="center"/>
          </w:tcPr>
          <w:p w14:paraId="31B6FEE5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569" w:type="pct"/>
            <w:vMerge w:val="restart"/>
            <w:tcBorders>
              <w:top w:val="nil"/>
              <w:left w:val="nil"/>
              <w:right w:val="single" w:color="000000" w:sz="8" w:space="0"/>
            </w:tcBorders>
            <w:vAlign w:val="center"/>
          </w:tcPr>
          <w:p w14:paraId="545D5994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C425A0F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885BC61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D98A149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</w:tr>
      <w:tr w14:paraId="361F3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1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47ABD8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198616C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28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DDE520F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337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FF03F5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426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647A73E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534" w:type="pct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 w14:paraId="15E7DC2E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499" w:type="pct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 w14:paraId="7AF67E57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569" w:type="pct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 w14:paraId="5D59C132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7558317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692E0BA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BC3EB1A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</w:tr>
      <w:tr w14:paraId="5CE6B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41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EA64E2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392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C2D2557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28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FE6262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337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C11131C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426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616D3EB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534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CCA16E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499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959E89B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569" w:type="pct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93D4E83">
            <w:pPr>
              <w:jc w:val="center"/>
              <w:rPr>
                <w:rFonts w:ascii="Times New Roman" w:hAnsi="Times New Roman" w:eastAsia="宋体" w:cs="Times New Roman"/>
                <w:color w:val="000000"/>
                <w:sz w:val="32"/>
                <w:szCs w:val="3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F9C70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……</w:t>
            </w:r>
          </w:p>
        </w:tc>
        <w:tc>
          <w:tcPr>
            <w:tcW w:w="45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54AC9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……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76EB37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……</w:t>
            </w:r>
          </w:p>
        </w:tc>
      </w:tr>
    </w:tbl>
    <w:p w14:paraId="19F69B37">
      <w:pPr>
        <w:pStyle w:val="2"/>
        <w:spacing w:line="500" w:lineRule="exact"/>
        <w:ind w:left="845" w:leftChars="174" w:hanging="480" w:hangingChars="200"/>
        <w:rPr>
          <w:rFonts w:hint="eastAsia" w:ascii="仿宋_GB2312" w:hAnsi="仿宋_GB2312" w:eastAsia="仿宋_GB2312" w:cs="仿宋_GB2312"/>
          <w:sz w:val="24"/>
          <w:szCs w:val="20"/>
        </w:rPr>
      </w:pPr>
      <w:r>
        <w:rPr>
          <w:rFonts w:hint="eastAsia" w:ascii="仿宋_GB2312" w:hAnsi="仿宋_GB2312" w:eastAsia="仿宋_GB2312" w:cs="仿宋_GB2312"/>
          <w:sz w:val="24"/>
          <w:szCs w:val="20"/>
        </w:rPr>
        <w:t>填写说明：</w:t>
      </w:r>
    </w:p>
    <w:p w14:paraId="24AD4BD9">
      <w:pPr>
        <w:pStyle w:val="2"/>
        <w:spacing w:line="500" w:lineRule="exact"/>
        <w:ind w:left="731" w:leftChars="348" w:firstLine="0" w:firstLineChars="0"/>
        <w:rPr>
          <w:rFonts w:hint="eastAsia" w:ascii="仿宋_GB2312" w:hAnsi="仿宋_GB2312" w:eastAsia="仿宋_GB2312" w:cs="仿宋_GB2312"/>
          <w:sz w:val="24"/>
          <w:szCs w:val="20"/>
        </w:rPr>
      </w:pPr>
      <w:r>
        <w:rPr>
          <w:rFonts w:hint="eastAsia" w:ascii="仿宋_GB2312" w:hAnsi="仿宋_GB2312" w:eastAsia="仿宋_GB2312" w:cs="仿宋_GB2312"/>
          <w:sz w:val="24"/>
          <w:szCs w:val="20"/>
        </w:rPr>
        <w:t>1、“供应农资种类”栏填写企业经营的农资种类，如肥料、农药、种子、农机、农膜等。</w:t>
      </w:r>
    </w:p>
    <w:p w14:paraId="27438685">
      <w:pPr>
        <w:pStyle w:val="2"/>
        <w:spacing w:line="500" w:lineRule="exact"/>
        <w:ind w:left="731" w:leftChars="348" w:firstLine="0" w:firstLineChars="0"/>
        <w:rPr>
          <w:rFonts w:hint="eastAsia" w:ascii="仿宋_GB2312" w:hAnsi="仿宋_GB2312" w:eastAsia="仿宋_GB2312" w:cs="仿宋_GB2312"/>
          <w:sz w:val="24"/>
          <w:szCs w:val="20"/>
        </w:rPr>
      </w:pPr>
      <w:r>
        <w:rPr>
          <w:rFonts w:hint="eastAsia" w:ascii="仿宋_GB2312" w:hAnsi="仿宋_GB2312" w:eastAsia="仿宋_GB2312" w:cs="仿宋_GB2312"/>
          <w:sz w:val="24"/>
          <w:szCs w:val="20"/>
        </w:rPr>
        <w:t>2、“2025年销售量”栏填写“供应农资种类”栏对应种类农资的销售量，数量单位根据农资种类自行注明，肥料、农药、种子、农机分别按万吨、吨、万公斤、台进行统计。</w:t>
      </w:r>
    </w:p>
    <w:p w14:paraId="648C691E">
      <w:pPr>
        <w:pStyle w:val="2"/>
        <w:spacing w:line="500" w:lineRule="exact"/>
        <w:ind w:left="731" w:leftChars="348" w:firstLine="0" w:firstLineChars="0"/>
        <w:rPr>
          <w:rFonts w:hint="eastAsia" w:ascii="仿宋_GB2312" w:hAnsi="仿宋_GB2312" w:eastAsia="仿宋_GB2312" w:cs="仿宋_GB2312"/>
          <w:sz w:val="24"/>
          <w:szCs w:val="20"/>
        </w:rPr>
      </w:pPr>
      <w:r>
        <w:rPr>
          <w:rFonts w:hint="eastAsia" w:ascii="仿宋_GB2312" w:hAnsi="仿宋_GB2312" w:eastAsia="仿宋_GB2312" w:cs="仿宋_GB2312"/>
          <w:sz w:val="24"/>
          <w:szCs w:val="20"/>
        </w:rPr>
        <w:t>3、“可供应区域”栏填写“供应农资种类”栏对应种类农资的可供应区域。</w:t>
      </w:r>
    </w:p>
    <w:p w14:paraId="79A984B4">
      <w:pPr>
        <w:pStyle w:val="2"/>
        <w:spacing w:line="500" w:lineRule="exact"/>
        <w:ind w:left="731" w:leftChars="348" w:firstLine="0" w:firstLineChars="0"/>
        <w:rPr>
          <w:rFonts w:hint="eastAsia" w:ascii="仿宋_GB2312" w:hAnsi="仿宋_GB2312" w:eastAsia="仿宋_GB2312" w:cs="仿宋_GB2312"/>
          <w:sz w:val="24"/>
          <w:szCs w:val="20"/>
        </w:rPr>
      </w:pPr>
      <w:r>
        <w:rPr>
          <w:rFonts w:hint="eastAsia" w:ascii="仿宋_GB2312" w:hAnsi="仿宋_GB2312" w:eastAsia="仿宋_GB2312" w:cs="仿宋_GB2312"/>
          <w:sz w:val="24"/>
          <w:szCs w:val="20"/>
        </w:rPr>
        <w:t>4、营业收入、供应相关指标仅作为此次遴选重点保供企业参考，不对外公布。</w:t>
      </w:r>
    </w:p>
    <w:p w14:paraId="7754E14D">
      <w:pPr>
        <w:pStyle w:val="15"/>
        <w:widowControl/>
        <w:spacing w:beforeAutospacing="0" w:afterAutospacing="0"/>
        <w:ind w:firstLine="640"/>
        <w:jc w:val="both"/>
        <w:rPr>
          <w:rFonts w:ascii="Times New Roman" w:hAnsi="Times New Roman"/>
          <w:bCs/>
          <w:sz w:val="32"/>
          <w:szCs w:val="32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docGrid w:type="lines" w:linePitch="319" w:charSpace="0"/>
        </w:sectPr>
      </w:pPr>
    </w:p>
    <w:p w14:paraId="1D5F7774">
      <w:pPr>
        <w:rPr>
          <w:rFonts w:hint="eastAsia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79C"/>
    <w:rsid w:val="0014079C"/>
    <w:rsid w:val="003F7081"/>
    <w:rsid w:val="008603C2"/>
    <w:rsid w:val="00D10117"/>
    <w:rsid w:val="1A5835B8"/>
    <w:rsid w:val="7E0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3">
    <w:name w:val="heading 1"/>
    <w:basedOn w:val="1"/>
    <w:next w:val="1"/>
    <w:link w:val="19"/>
    <w:qFormat/>
    <w:uiPriority w:val="9"/>
    <w:pPr>
      <w:keepNext/>
      <w:keepLines/>
      <w:spacing w:before="480" w:after="80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4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5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6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jc w:val="left"/>
      <w:outlineLvl w:val="3"/>
    </w:pPr>
    <w:rPr>
      <w:rFonts w:cstheme="majorBidi"/>
      <w:color w:val="2F5597" w:themeColor="accent1" w:themeShade="BF"/>
      <w:sz w:val="28"/>
      <w:szCs w:val="28"/>
      <w14:ligatures w14:val="standardContextual"/>
    </w:rPr>
  </w:style>
  <w:style w:type="paragraph" w:styleId="7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jc w:val="left"/>
      <w:outlineLvl w:val="4"/>
    </w:pPr>
    <w:rPr>
      <w:rFonts w:cstheme="majorBidi"/>
      <w:color w:val="2F5597" w:themeColor="accent1" w:themeShade="BF"/>
      <w:sz w:val="24"/>
      <w:szCs w:val="24"/>
      <w14:ligatures w14:val="standardContextual"/>
    </w:rPr>
  </w:style>
  <w:style w:type="paragraph" w:styleId="8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jc w:val="left"/>
      <w:outlineLvl w:val="5"/>
    </w:pPr>
    <w:rPr>
      <w:rFonts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9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1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  <w14:ligatures w14:val="standardContextual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  <w14:ligatures w14:val="standardContextual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5">
    <w:name w:val="Normal (Web)"/>
    <w:basedOn w:val="1"/>
    <w:qFormat/>
    <w:uiPriority w:val="0"/>
    <w:pPr>
      <w:spacing w:beforeAutospacing="1" w:afterAutospacing="1"/>
      <w:ind w:firstLine="200" w:firstLineChars="200"/>
      <w:jc w:val="left"/>
    </w:pPr>
    <w:rPr>
      <w:rFonts w:eastAsia="仿宋_GB2312" w:cs="Times New Roman"/>
      <w:kern w:val="0"/>
      <w:sz w:val="24"/>
    </w:rPr>
  </w:style>
  <w:style w:type="paragraph" w:styleId="16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9">
    <w:name w:val="标题 1 字符"/>
    <w:basedOn w:val="18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6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7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8"/>
    <w:link w:val="8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33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5">
    <w:name w:val="明显引用 字符"/>
    <w:basedOn w:val="18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font41"/>
    <w:basedOn w:val="18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40">
    <w:name w:val="font31"/>
    <w:basedOn w:val="1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672</Words>
  <Characters>687</Characters>
  <Lines>30</Lines>
  <Paragraphs>22</Paragraphs>
  <TotalTime>0</TotalTime>
  <ScaleCrop>false</ScaleCrop>
  <LinksUpToDate>false</LinksUpToDate>
  <CharactersWithSpaces>769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2026-01-28T06:40:00Z</dcterms:created>
  <dc:creator>田家荣</dc:creator>
  <cp:lastModifiedBy>董振波</cp:lastModifiedBy>
  <dcterms:modified xsi:type="dcterms:W3CDTF">2026-01-28T07:06:36Z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B55AF2F126F04DAE87A40608295792CA_13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