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B3F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5BD3DD2">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7F98A67">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03.100.20</w:t>
            </w:r>
            <w:r>
              <w:rPr>
                <w:rFonts w:ascii="黑体" w:hAnsi="黑体" w:eastAsia="黑体"/>
                <w:sz w:val="21"/>
                <w:szCs w:val="21"/>
              </w:rPr>
              <w:fldChar w:fldCharType="end"/>
            </w:r>
            <w:bookmarkEnd w:id="0"/>
          </w:p>
        </w:tc>
      </w:tr>
      <w:tr w14:paraId="5647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D8F174A">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57D62E0">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A 10</w:t>
            </w:r>
            <w:r>
              <w:rPr>
                <w:rFonts w:ascii="黑体" w:hAnsi="黑体" w:eastAsia="黑体"/>
                <w:sz w:val="21"/>
                <w:szCs w:val="21"/>
              </w:rPr>
              <w:fldChar w:fldCharType="end"/>
            </w:r>
            <w:bookmarkEnd w:id="1"/>
          </w:p>
        </w:tc>
      </w:tr>
    </w:tbl>
    <w:tbl>
      <w:tblPr>
        <w:tblStyle w:val="27"/>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05600CD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7D216657">
            <w:pPr>
              <w:pStyle w:val="49"/>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GH</w:t>
            </w:r>
            <w:r>
              <w:fldChar w:fldCharType="end"/>
            </w:r>
            <w:bookmarkEnd w:id="3"/>
          </w:p>
        </w:tc>
      </w:tr>
    </w:tbl>
    <w:p w14:paraId="50DA84D4">
      <w:pPr>
        <w:pStyle w:val="50"/>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供销合作</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6A268D3C">
      <w:pPr>
        <w:pStyle w:val="195"/>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640516EE">
      <w:pPr>
        <w:pStyle w:val="196"/>
        <w:rPr>
          <w:rFonts w:hint="eastAsia"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代替</w:t>
      </w:r>
      <w:r>
        <w:rPr>
          <w:rFonts w:hAnsi="黑体"/>
          <w:lang w:val="fr-FR"/>
        </w:rPr>
        <w:t xml:space="preserve"> XX/T</w:t>
      </w:r>
      <w:r>
        <w:rPr>
          <w:rFonts w:hAnsi="黑体"/>
        </w:rPr>
        <w:fldChar w:fldCharType="end"/>
      </w:r>
      <w:bookmarkEnd w:id="8"/>
    </w:p>
    <w:p w14:paraId="324D8406">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2CEB2AB">
      <w:pPr>
        <w:pStyle w:val="50"/>
        <w:framePr w:w="9639" w:h="6976" w:hRule="exact" w:hSpace="0" w:vSpace="0" w:wrap="around" w:hAnchor="page" w:y="6408"/>
        <w:jc w:val="center"/>
        <w:rPr>
          <w:rFonts w:hint="eastAsia" w:ascii="黑体" w:hAnsi="黑体" w:eastAsia="黑体"/>
          <w:b w:val="0"/>
          <w:bCs w:val="0"/>
          <w:w w:val="100"/>
          <w:lang w:val="fr-FR"/>
        </w:rPr>
      </w:pPr>
    </w:p>
    <w:p w14:paraId="2EA937D1">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农资仓储信息化建设规范</w:t>
      </w:r>
      <w:r>
        <w:fldChar w:fldCharType="end"/>
      </w:r>
      <w:bookmarkEnd w:id="9"/>
    </w:p>
    <w:p w14:paraId="2CCF23C5">
      <w:pPr>
        <w:framePr w:w="9639" w:h="6974" w:hRule="exact" w:wrap="around" w:vAnchor="page" w:hAnchor="page" w:x="1419" w:y="6408" w:anchorLock="1"/>
        <w:ind w:left="-1418"/>
      </w:pPr>
    </w:p>
    <w:p w14:paraId="219C040D">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Specification for informatization construction of agricultural materials warehousing</w:t>
      </w:r>
      <w:r>
        <w:rPr>
          <w:rFonts w:eastAsia="黑体"/>
          <w:szCs w:val="28"/>
        </w:rPr>
        <w:fldChar w:fldCharType="end"/>
      </w:r>
      <w:bookmarkEnd w:id="10"/>
    </w:p>
    <w:p w14:paraId="79542522">
      <w:pPr>
        <w:framePr w:w="9639" w:h="6974" w:hRule="exact" w:wrap="around" w:vAnchor="page" w:hAnchor="page" w:x="1419" w:y="6408" w:anchorLock="1"/>
        <w:spacing w:line="760" w:lineRule="exact"/>
        <w:ind w:left="-1418"/>
      </w:pPr>
    </w:p>
    <w:p w14:paraId="2C219552">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1"/>
    </w:p>
    <w:p w14:paraId="1F6A29F5">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14:paraId="46D85433">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14:paraId="74230B34">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14:paraId="7F71D28E">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    </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14:paraId="4CA79DC7">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14:paraId="555CAF70">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中华全国供销合作总社</w:t>
      </w:r>
      <w:r>
        <w:rPr>
          <w:rFonts w:hAnsi="黑体"/>
          <w:w w:val="100"/>
          <w:sz w:val="28"/>
        </w:rPr>
        <w:fldChar w:fldCharType="end"/>
      </w:r>
      <w:bookmarkEnd w:id="21"/>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14:paraId="5FC334DA">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ECF6EE1">
      <w:pPr>
        <w:pStyle w:val="91"/>
        <w:spacing w:after="360"/>
      </w:pPr>
      <w:bookmarkStart w:id="22" w:name="BookMark1"/>
      <w:bookmarkStart w:id="23" w:name="_Toc214901855"/>
      <w:bookmarkStart w:id="24" w:name="_Toc214292398"/>
      <w:r>
        <w:rPr>
          <w:rFonts w:hint="eastAsia"/>
          <w:spacing w:val="320"/>
        </w:rPr>
        <w:t>目</w:t>
      </w:r>
      <w:r>
        <w:rPr>
          <w:rFonts w:hint="eastAsia"/>
        </w:rPr>
        <w:t>次</w:t>
      </w:r>
    </w:p>
    <w:p w14:paraId="56DD85DA">
      <w:pPr>
        <w:pStyle w:val="19"/>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"_Toc21742" </w:instrText>
      </w:r>
      <w:r>
        <w:fldChar w:fldCharType="separate"/>
      </w:r>
      <w:r>
        <w:rPr>
          <w:rFonts w:hint="eastAsia"/>
          <w:spacing w:val="320"/>
        </w:rPr>
        <w:t>前</w:t>
      </w:r>
      <w:r>
        <w:rPr>
          <w:rFonts w:hint="eastAsia"/>
        </w:rPr>
        <w:t>言</w:t>
      </w:r>
      <w:r>
        <w:tab/>
      </w:r>
      <w:r>
        <w:fldChar w:fldCharType="begin"/>
      </w:r>
      <w:r>
        <w:instrText xml:space="preserve"> PAGEREF _Toc21742 \h </w:instrText>
      </w:r>
      <w:r>
        <w:fldChar w:fldCharType="separate"/>
      </w:r>
      <w:r>
        <w:t>III</w:t>
      </w:r>
      <w:r>
        <w:fldChar w:fldCharType="end"/>
      </w:r>
      <w:r>
        <w:fldChar w:fldCharType="end"/>
      </w:r>
    </w:p>
    <w:p w14:paraId="0B64ED6A">
      <w:pPr>
        <w:pStyle w:val="19"/>
        <w:tabs>
          <w:tab w:val="right" w:leader="dot" w:pos="9354"/>
        </w:tabs>
      </w:pPr>
      <w:r>
        <w:fldChar w:fldCharType="begin"/>
      </w:r>
      <w:r>
        <w:instrText xml:space="preserve"> HYPERLINK \l "_Toc27253" </w:instrText>
      </w:r>
      <w:r>
        <w:fldChar w:fldCharType="separate"/>
      </w:r>
      <w:r>
        <w:rPr>
          <w:rFonts w:hint="eastAsia" w:ascii="黑体" w:eastAsia="黑体"/>
        </w:rPr>
        <w:t xml:space="preserve">1 </w:t>
      </w:r>
      <w:r>
        <w:rPr>
          <w:rFonts w:hint="eastAsia"/>
        </w:rPr>
        <w:t>范围</w:t>
      </w:r>
      <w:r>
        <w:tab/>
      </w:r>
      <w:r>
        <w:fldChar w:fldCharType="begin"/>
      </w:r>
      <w:r>
        <w:instrText xml:space="preserve"> PAGEREF _Toc27253 \h </w:instrText>
      </w:r>
      <w:r>
        <w:fldChar w:fldCharType="separate"/>
      </w:r>
      <w:r>
        <w:t>1</w:t>
      </w:r>
      <w:r>
        <w:fldChar w:fldCharType="end"/>
      </w:r>
      <w:r>
        <w:fldChar w:fldCharType="end"/>
      </w:r>
    </w:p>
    <w:p w14:paraId="39F4C098">
      <w:pPr>
        <w:pStyle w:val="19"/>
        <w:tabs>
          <w:tab w:val="right" w:leader="dot" w:pos="9354"/>
        </w:tabs>
      </w:pPr>
      <w:r>
        <w:fldChar w:fldCharType="begin"/>
      </w:r>
      <w:r>
        <w:instrText xml:space="preserve"> HYPERLINK \l "_Toc11755" </w:instrText>
      </w:r>
      <w:r>
        <w:fldChar w:fldCharType="separate"/>
      </w:r>
      <w:r>
        <w:rPr>
          <w:rFonts w:hint="eastAsia" w:ascii="黑体" w:eastAsia="黑体"/>
        </w:rPr>
        <w:t xml:space="preserve">2 </w:t>
      </w:r>
      <w:r>
        <w:rPr>
          <w:rFonts w:hint="eastAsia"/>
        </w:rPr>
        <w:t>规范性引用文件</w:t>
      </w:r>
      <w:r>
        <w:tab/>
      </w:r>
      <w:r>
        <w:fldChar w:fldCharType="begin"/>
      </w:r>
      <w:r>
        <w:instrText xml:space="preserve"> PAGEREF _Toc11755 \h </w:instrText>
      </w:r>
      <w:r>
        <w:fldChar w:fldCharType="separate"/>
      </w:r>
      <w:r>
        <w:t>1</w:t>
      </w:r>
      <w:r>
        <w:fldChar w:fldCharType="end"/>
      </w:r>
      <w:r>
        <w:fldChar w:fldCharType="end"/>
      </w:r>
    </w:p>
    <w:p w14:paraId="7D8D4CD3">
      <w:pPr>
        <w:pStyle w:val="19"/>
        <w:tabs>
          <w:tab w:val="right" w:leader="dot" w:pos="9354"/>
        </w:tabs>
      </w:pPr>
      <w:r>
        <w:fldChar w:fldCharType="begin"/>
      </w:r>
      <w:r>
        <w:instrText xml:space="preserve"> HYPERLINK \l "_Toc6553"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_Toc6553 \h </w:instrText>
      </w:r>
      <w:r>
        <w:fldChar w:fldCharType="separate"/>
      </w:r>
      <w:r>
        <w:t>1</w:t>
      </w:r>
      <w:r>
        <w:fldChar w:fldCharType="end"/>
      </w:r>
      <w:r>
        <w:fldChar w:fldCharType="end"/>
      </w:r>
    </w:p>
    <w:p w14:paraId="30C9310A">
      <w:pPr>
        <w:pStyle w:val="19"/>
        <w:tabs>
          <w:tab w:val="right" w:leader="dot" w:pos="9354"/>
        </w:tabs>
      </w:pPr>
      <w:r>
        <w:fldChar w:fldCharType="begin"/>
      </w:r>
      <w:r>
        <w:instrText xml:space="preserve"> HYPERLINK \l "_Toc24566" </w:instrText>
      </w:r>
      <w:r>
        <w:fldChar w:fldCharType="separate"/>
      </w:r>
      <w:r>
        <w:rPr>
          <w:rFonts w:hint="eastAsia" w:ascii="黑体" w:eastAsia="黑体"/>
        </w:rPr>
        <w:t xml:space="preserve">4 </w:t>
      </w:r>
      <w:r>
        <w:rPr>
          <w:rFonts w:hint="eastAsia"/>
        </w:rPr>
        <w:t>总体要求</w:t>
      </w:r>
      <w:r>
        <w:tab/>
      </w:r>
      <w:r>
        <w:fldChar w:fldCharType="begin"/>
      </w:r>
      <w:r>
        <w:instrText xml:space="preserve"> PAGEREF _Toc24566 \h </w:instrText>
      </w:r>
      <w:r>
        <w:fldChar w:fldCharType="separate"/>
      </w:r>
      <w:r>
        <w:t>2</w:t>
      </w:r>
      <w:r>
        <w:fldChar w:fldCharType="end"/>
      </w:r>
      <w:r>
        <w:fldChar w:fldCharType="end"/>
      </w:r>
    </w:p>
    <w:p w14:paraId="316B262C">
      <w:pPr>
        <w:pStyle w:val="19"/>
        <w:tabs>
          <w:tab w:val="right" w:leader="dot" w:pos="9354"/>
        </w:tabs>
      </w:pPr>
      <w:r>
        <w:fldChar w:fldCharType="begin"/>
      </w:r>
      <w:r>
        <w:instrText xml:space="preserve"> HYPERLINK \l "_Toc17265" </w:instrText>
      </w:r>
      <w:r>
        <w:fldChar w:fldCharType="separate"/>
      </w:r>
      <w:r>
        <w:rPr>
          <w:rFonts w:hint="eastAsia" w:ascii="黑体" w:eastAsia="黑体"/>
        </w:rPr>
        <w:t xml:space="preserve">5 </w:t>
      </w:r>
      <w:r>
        <w:rPr>
          <w:rFonts w:hint="eastAsia"/>
        </w:rPr>
        <w:t>总体架构</w:t>
      </w:r>
      <w:r>
        <w:tab/>
      </w:r>
      <w:r>
        <w:fldChar w:fldCharType="begin"/>
      </w:r>
      <w:r>
        <w:instrText xml:space="preserve"> PAGEREF _Toc17265 \h </w:instrText>
      </w:r>
      <w:r>
        <w:fldChar w:fldCharType="separate"/>
      </w:r>
      <w:r>
        <w:t>2</w:t>
      </w:r>
      <w:r>
        <w:fldChar w:fldCharType="end"/>
      </w:r>
      <w:r>
        <w:fldChar w:fldCharType="end"/>
      </w:r>
    </w:p>
    <w:p w14:paraId="76A44225">
      <w:pPr>
        <w:pStyle w:val="24"/>
        <w:tabs>
          <w:tab w:val="right" w:leader="dot" w:pos="9354"/>
          <w:tab w:val="clear" w:pos="9344"/>
        </w:tabs>
      </w:pPr>
      <w:r>
        <w:fldChar w:fldCharType="begin"/>
      </w:r>
      <w:r>
        <w:instrText xml:space="preserve"> HYPERLINK \l "_Toc12598" </w:instrText>
      </w:r>
      <w:r>
        <w:fldChar w:fldCharType="separate"/>
      </w:r>
      <w:r>
        <w:rPr>
          <w:rFonts w:hint="eastAsia" w:ascii="黑体" w:hAnsi="Times New Roman" w:eastAsia="黑体"/>
          <w:kern w:val="0"/>
          <w14:scene3d>
            <w14:lightRig w14:rig="threePt" w14:dir="t">
              <w14:rot w14:lat="0" w14:lon="0" w14:rev="0"/>
            </w14:lightRig>
          </w14:scene3d>
        </w:rPr>
        <w:t xml:space="preserve">5.1 </w:t>
      </w:r>
      <w:r>
        <w:rPr>
          <w:rFonts w:hint="eastAsia"/>
        </w:rPr>
        <w:t>应用架构</w:t>
      </w:r>
      <w:r>
        <w:tab/>
      </w:r>
      <w:r>
        <w:fldChar w:fldCharType="begin"/>
      </w:r>
      <w:r>
        <w:instrText xml:space="preserve"> PAGEREF _Toc12598 \h </w:instrText>
      </w:r>
      <w:r>
        <w:fldChar w:fldCharType="separate"/>
      </w:r>
      <w:r>
        <w:t>2</w:t>
      </w:r>
      <w:r>
        <w:fldChar w:fldCharType="end"/>
      </w:r>
      <w:r>
        <w:fldChar w:fldCharType="end"/>
      </w:r>
    </w:p>
    <w:p w14:paraId="168A6F51">
      <w:pPr>
        <w:pStyle w:val="24"/>
        <w:tabs>
          <w:tab w:val="right" w:leader="dot" w:pos="9354"/>
          <w:tab w:val="clear" w:pos="9344"/>
        </w:tabs>
      </w:pPr>
      <w:r>
        <w:fldChar w:fldCharType="begin"/>
      </w:r>
      <w:r>
        <w:instrText xml:space="preserve"> HYPERLINK \l "_Toc28533" </w:instrText>
      </w:r>
      <w:r>
        <w:fldChar w:fldCharType="separate"/>
      </w:r>
      <w:r>
        <w:rPr>
          <w:rFonts w:hint="eastAsia" w:ascii="黑体" w:hAnsi="Times New Roman" w:eastAsia="黑体"/>
          <w:kern w:val="0"/>
          <w14:scene3d>
            <w14:lightRig w14:rig="threePt" w14:dir="t">
              <w14:rot w14:lat="0" w14:lon="0" w14:rev="0"/>
            </w14:lightRig>
          </w14:scene3d>
        </w:rPr>
        <w:t xml:space="preserve">5.2 </w:t>
      </w:r>
      <w:r>
        <w:rPr>
          <w:rFonts w:hint="eastAsia"/>
        </w:rPr>
        <w:t>技术架构</w:t>
      </w:r>
      <w:r>
        <w:tab/>
      </w:r>
      <w:r>
        <w:fldChar w:fldCharType="begin"/>
      </w:r>
      <w:r>
        <w:instrText xml:space="preserve"> PAGEREF _Toc28533 \h </w:instrText>
      </w:r>
      <w:r>
        <w:fldChar w:fldCharType="separate"/>
      </w:r>
      <w:r>
        <w:t>2</w:t>
      </w:r>
      <w:r>
        <w:fldChar w:fldCharType="end"/>
      </w:r>
      <w:r>
        <w:fldChar w:fldCharType="end"/>
      </w:r>
    </w:p>
    <w:p w14:paraId="57DD433A">
      <w:pPr>
        <w:pStyle w:val="19"/>
        <w:tabs>
          <w:tab w:val="right" w:leader="dot" w:pos="9354"/>
        </w:tabs>
      </w:pPr>
      <w:r>
        <w:fldChar w:fldCharType="begin"/>
      </w:r>
      <w:r>
        <w:instrText xml:space="preserve"> HYPERLINK \l "_Toc28034" </w:instrText>
      </w:r>
      <w:r>
        <w:fldChar w:fldCharType="separate"/>
      </w:r>
      <w:r>
        <w:rPr>
          <w:rFonts w:hint="eastAsia" w:ascii="黑体" w:eastAsia="黑体"/>
        </w:rPr>
        <w:t xml:space="preserve">6 </w:t>
      </w:r>
      <w:r>
        <w:rPr>
          <w:rFonts w:hint="eastAsia"/>
        </w:rPr>
        <w:t>农资仓库信息系统建设</w:t>
      </w:r>
      <w:r>
        <w:tab/>
      </w:r>
      <w:r>
        <w:fldChar w:fldCharType="begin"/>
      </w:r>
      <w:r>
        <w:instrText xml:space="preserve"> PAGEREF _Toc28034 \h </w:instrText>
      </w:r>
      <w:r>
        <w:fldChar w:fldCharType="separate"/>
      </w:r>
      <w:r>
        <w:t>4</w:t>
      </w:r>
      <w:r>
        <w:fldChar w:fldCharType="end"/>
      </w:r>
      <w:r>
        <w:fldChar w:fldCharType="end"/>
      </w:r>
    </w:p>
    <w:p w14:paraId="5E68E8E0">
      <w:pPr>
        <w:pStyle w:val="24"/>
        <w:tabs>
          <w:tab w:val="right" w:leader="dot" w:pos="9354"/>
          <w:tab w:val="clear" w:pos="9344"/>
        </w:tabs>
      </w:pPr>
      <w:r>
        <w:fldChar w:fldCharType="begin"/>
      </w:r>
      <w:r>
        <w:instrText xml:space="preserve"> HYPERLINK \l "_Toc6832" </w:instrText>
      </w:r>
      <w:r>
        <w:fldChar w:fldCharType="separate"/>
      </w:r>
      <w:r>
        <w:rPr>
          <w:rFonts w:hint="eastAsia" w:ascii="黑体" w:hAnsi="Times New Roman" w:eastAsia="黑体"/>
          <w:kern w:val="0"/>
          <w14:scene3d>
            <w14:lightRig w14:rig="threePt" w14:dir="t">
              <w14:rot w14:lat="0" w14:lon="0" w14:rev="0"/>
            </w14:lightRig>
          </w14:scene3d>
        </w:rPr>
        <w:t xml:space="preserve">6.1 </w:t>
      </w:r>
      <w:r>
        <w:rPr>
          <w:rFonts w:hint="eastAsia"/>
        </w:rPr>
        <w:t>系统功能</w:t>
      </w:r>
      <w:r>
        <w:tab/>
      </w:r>
      <w:r>
        <w:fldChar w:fldCharType="begin"/>
      </w:r>
      <w:r>
        <w:instrText xml:space="preserve"> PAGEREF _Toc6832 \h </w:instrText>
      </w:r>
      <w:r>
        <w:fldChar w:fldCharType="separate"/>
      </w:r>
      <w:r>
        <w:t>4</w:t>
      </w:r>
      <w:r>
        <w:fldChar w:fldCharType="end"/>
      </w:r>
      <w:r>
        <w:fldChar w:fldCharType="end"/>
      </w:r>
    </w:p>
    <w:p w14:paraId="79BACD49">
      <w:pPr>
        <w:pStyle w:val="24"/>
        <w:tabs>
          <w:tab w:val="right" w:leader="dot" w:pos="9354"/>
          <w:tab w:val="clear" w:pos="9344"/>
        </w:tabs>
      </w:pPr>
      <w:r>
        <w:fldChar w:fldCharType="begin"/>
      </w:r>
      <w:r>
        <w:instrText xml:space="preserve"> HYPERLINK \l "_Toc26645" </w:instrText>
      </w:r>
      <w:r>
        <w:fldChar w:fldCharType="separate"/>
      </w:r>
      <w:r>
        <w:rPr>
          <w:rFonts w:hint="eastAsia" w:ascii="黑体" w:hAnsi="Times New Roman" w:eastAsia="黑体"/>
          <w:kern w:val="0"/>
          <w14:scene3d>
            <w14:lightRig w14:rig="threePt" w14:dir="t">
              <w14:rot w14:lat="0" w14:lon="0" w14:rev="0"/>
            </w14:lightRig>
          </w14:scene3d>
        </w:rPr>
        <w:t xml:space="preserve">6.2 </w:t>
      </w:r>
      <w:r>
        <w:rPr>
          <w:rFonts w:hint="eastAsia"/>
        </w:rPr>
        <w:t>系统管理</w:t>
      </w:r>
      <w:r>
        <w:tab/>
      </w:r>
      <w:r>
        <w:fldChar w:fldCharType="begin"/>
      </w:r>
      <w:r>
        <w:instrText xml:space="preserve"> PAGEREF _Toc26645 \h </w:instrText>
      </w:r>
      <w:r>
        <w:fldChar w:fldCharType="separate"/>
      </w:r>
      <w:r>
        <w:t>5</w:t>
      </w:r>
      <w:r>
        <w:fldChar w:fldCharType="end"/>
      </w:r>
      <w:r>
        <w:fldChar w:fldCharType="end"/>
      </w:r>
    </w:p>
    <w:p w14:paraId="0E6269A6">
      <w:pPr>
        <w:pStyle w:val="24"/>
        <w:tabs>
          <w:tab w:val="right" w:leader="dot" w:pos="9354"/>
          <w:tab w:val="clear" w:pos="9344"/>
        </w:tabs>
      </w:pPr>
      <w:r>
        <w:fldChar w:fldCharType="begin"/>
      </w:r>
      <w:r>
        <w:instrText xml:space="preserve"> HYPERLINK \l "_Toc24650" </w:instrText>
      </w:r>
      <w:r>
        <w:fldChar w:fldCharType="separate"/>
      </w:r>
      <w:r>
        <w:rPr>
          <w:rFonts w:hint="eastAsia" w:ascii="黑体" w:hAnsi="Times New Roman" w:eastAsia="黑体"/>
          <w:kern w:val="0"/>
          <w14:scene3d>
            <w14:lightRig w14:rig="threePt" w14:dir="t">
              <w14:rot w14:lat="0" w14:lon="0" w14:rev="0"/>
            </w14:lightRig>
          </w14:scene3d>
        </w:rPr>
        <w:t xml:space="preserve">6.3 </w:t>
      </w:r>
      <w:r>
        <w:rPr>
          <w:rFonts w:hint="eastAsia"/>
        </w:rPr>
        <w:t>购销管理</w:t>
      </w:r>
      <w:r>
        <w:tab/>
      </w:r>
      <w:r>
        <w:fldChar w:fldCharType="begin"/>
      </w:r>
      <w:r>
        <w:instrText xml:space="preserve"> PAGEREF _Toc24650 \h </w:instrText>
      </w:r>
      <w:r>
        <w:fldChar w:fldCharType="separate"/>
      </w:r>
      <w:r>
        <w:t>5</w:t>
      </w:r>
      <w:r>
        <w:fldChar w:fldCharType="end"/>
      </w:r>
      <w:r>
        <w:fldChar w:fldCharType="end"/>
      </w:r>
    </w:p>
    <w:p w14:paraId="707BD028">
      <w:pPr>
        <w:pStyle w:val="24"/>
        <w:tabs>
          <w:tab w:val="right" w:leader="dot" w:pos="9354"/>
          <w:tab w:val="clear" w:pos="9344"/>
        </w:tabs>
      </w:pPr>
      <w:r>
        <w:fldChar w:fldCharType="begin"/>
      </w:r>
      <w:r>
        <w:instrText xml:space="preserve"> HYPERLINK \l "_Toc30955" </w:instrText>
      </w:r>
      <w:r>
        <w:fldChar w:fldCharType="separate"/>
      </w:r>
      <w:r>
        <w:rPr>
          <w:rFonts w:hint="eastAsia" w:ascii="黑体" w:hAnsi="Times New Roman" w:eastAsia="黑体"/>
          <w:kern w:val="0"/>
          <w14:scene3d>
            <w14:lightRig w14:rig="threePt" w14:dir="t">
              <w14:rot w14:lat="0" w14:lon="0" w14:rev="0"/>
            </w14:lightRig>
          </w14:scene3d>
        </w:rPr>
        <w:t xml:space="preserve">6.4 </w:t>
      </w:r>
      <w:r>
        <w:rPr>
          <w:rFonts w:hint="eastAsia"/>
        </w:rPr>
        <w:t>安全生产</w:t>
      </w:r>
      <w:r>
        <w:tab/>
      </w:r>
      <w:r>
        <w:fldChar w:fldCharType="begin"/>
      </w:r>
      <w:r>
        <w:instrText xml:space="preserve"> PAGEREF _Toc30955 \h </w:instrText>
      </w:r>
      <w:r>
        <w:fldChar w:fldCharType="separate"/>
      </w:r>
      <w:r>
        <w:t>5</w:t>
      </w:r>
      <w:r>
        <w:fldChar w:fldCharType="end"/>
      </w:r>
      <w:r>
        <w:fldChar w:fldCharType="end"/>
      </w:r>
    </w:p>
    <w:p w14:paraId="58ED79FA">
      <w:pPr>
        <w:pStyle w:val="24"/>
        <w:tabs>
          <w:tab w:val="right" w:leader="dot" w:pos="9354"/>
          <w:tab w:val="clear" w:pos="9344"/>
        </w:tabs>
      </w:pPr>
      <w:r>
        <w:fldChar w:fldCharType="begin"/>
      </w:r>
      <w:r>
        <w:instrText xml:space="preserve"> HYPERLINK \l "_Toc1021" </w:instrText>
      </w:r>
      <w:r>
        <w:fldChar w:fldCharType="separate"/>
      </w:r>
      <w:r>
        <w:rPr>
          <w:rFonts w:hint="eastAsia" w:ascii="黑体" w:hAnsi="Times New Roman" w:eastAsia="黑体"/>
          <w:kern w:val="0"/>
          <w14:scene3d>
            <w14:lightRig w14:rig="threePt" w14:dir="t">
              <w14:rot w14:lat="0" w14:lon="0" w14:rev="0"/>
            </w14:lightRig>
          </w14:scene3d>
        </w:rPr>
        <w:t xml:space="preserve">6.5 </w:t>
      </w:r>
      <w:r>
        <w:rPr>
          <w:rFonts w:hint="eastAsia"/>
        </w:rPr>
        <w:t>财税与统计</w:t>
      </w:r>
      <w:r>
        <w:tab/>
      </w:r>
      <w:r>
        <w:fldChar w:fldCharType="begin"/>
      </w:r>
      <w:r>
        <w:instrText xml:space="preserve"> PAGEREF _Toc1021 \h </w:instrText>
      </w:r>
      <w:r>
        <w:fldChar w:fldCharType="separate"/>
      </w:r>
      <w:r>
        <w:t>5</w:t>
      </w:r>
      <w:r>
        <w:fldChar w:fldCharType="end"/>
      </w:r>
      <w:r>
        <w:fldChar w:fldCharType="end"/>
      </w:r>
    </w:p>
    <w:p w14:paraId="296D57F2">
      <w:pPr>
        <w:pStyle w:val="19"/>
        <w:tabs>
          <w:tab w:val="right" w:leader="dot" w:pos="9354"/>
        </w:tabs>
      </w:pPr>
      <w:r>
        <w:fldChar w:fldCharType="begin"/>
      </w:r>
      <w:r>
        <w:instrText xml:space="preserve"> HYPERLINK \l "_Toc6616" </w:instrText>
      </w:r>
      <w:r>
        <w:fldChar w:fldCharType="separate"/>
      </w:r>
      <w:r>
        <w:rPr>
          <w:rFonts w:hint="eastAsia" w:ascii="黑体" w:eastAsia="黑体"/>
        </w:rPr>
        <w:t xml:space="preserve">7 </w:t>
      </w:r>
      <w:r>
        <w:rPr>
          <w:rFonts w:hint="eastAsia"/>
        </w:rPr>
        <w:t>省级平台系统建设</w:t>
      </w:r>
      <w:r>
        <w:tab/>
      </w:r>
      <w:r>
        <w:fldChar w:fldCharType="begin"/>
      </w:r>
      <w:r>
        <w:instrText xml:space="preserve"> PAGEREF _Toc6616 \h </w:instrText>
      </w:r>
      <w:r>
        <w:fldChar w:fldCharType="separate"/>
      </w:r>
      <w:r>
        <w:t>6</w:t>
      </w:r>
      <w:r>
        <w:fldChar w:fldCharType="end"/>
      </w:r>
      <w:r>
        <w:fldChar w:fldCharType="end"/>
      </w:r>
    </w:p>
    <w:p w14:paraId="62D39682">
      <w:pPr>
        <w:pStyle w:val="24"/>
        <w:tabs>
          <w:tab w:val="right" w:leader="dot" w:pos="9354"/>
          <w:tab w:val="clear" w:pos="9344"/>
        </w:tabs>
      </w:pPr>
      <w:r>
        <w:fldChar w:fldCharType="begin"/>
      </w:r>
      <w:r>
        <w:instrText xml:space="preserve"> HYPERLINK \l "_Toc20801" </w:instrText>
      </w:r>
      <w:r>
        <w:fldChar w:fldCharType="separate"/>
      </w:r>
      <w:r>
        <w:rPr>
          <w:rFonts w:hint="eastAsia" w:ascii="黑体" w:hAnsi="Times New Roman" w:eastAsia="黑体"/>
          <w:kern w:val="0"/>
          <w14:scene3d>
            <w14:lightRig w14:rig="threePt" w14:dir="t">
              <w14:rot w14:lat="0" w14:lon="0" w14:rev="0"/>
            </w14:lightRig>
          </w14:scene3d>
        </w:rPr>
        <w:t xml:space="preserve">7.1 </w:t>
      </w:r>
      <w:r>
        <w:rPr>
          <w:rFonts w:hint="eastAsia"/>
        </w:rPr>
        <w:t>系统功能</w:t>
      </w:r>
      <w:r>
        <w:tab/>
      </w:r>
      <w:r>
        <w:fldChar w:fldCharType="begin"/>
      </w:r>
      <w:r>
        <w:instrText xml:space="preserve"> PAGEREF _Toc20801 \h </w:instrText>
      </w:r>
      <w:r>
        <w:fldChar w:fldCharType="separate"/>
      </w:r>
      <w:r>
        <w:t>6</w:t>
      </w:r>
      <w:r>
        <w:fldChar w:fldCharType="end"/>
      </w:r>
      <w:r>
        <w:fldChar w:fldCharType="end"/>
      </w:r>
    </w:p>
    <w:p w14:paraId="6A41F0E3">
      <w:pPr>
        <w:pStyle w:val="24"/>
        <w:tabs>
          <w:tab w:val="right" w:leader="dot" w:pos="9354"/>
          <w:tab w:val="clear" w:pos="9344"/>
        </w:tabs>
      </w:pPr>
      <w:r>
        <w:fldChar w:fldCharType="begin"/>
      </w:r>
      <w:r>
        <w:instrText xml:space="preserve"> HYPERLINK \l "_Toc9608" </w:instrText>
      </w:r>
      <w:r>
        <w:fldChar w:fldCharType="separate"/>
      </w:r>
      <w:r>
        <w:rPr>
          <w:rFonts w:hint="eastAsia" w:ascii="黑体" w:hAnsi="Times New Roman" w:eastAsia="黑体"/>
          <w:kern w:val="0"/>
          <w14:scene3d>
            <w14:lightRig w14:rig="threePt" w14:dir="t">
              <w14:rot w14:lat="0" w14:lon="0" w14:rev="0"/>
            </w14:lightRig>
          </w14:scene3d>
        </w:rPr>
        <w:t xml:space="preserve">7.2 </w:t>
      </w:r>
      <w:r>
        <w:rPr>
          <w:rFonts w:hint="eastAsia"/>
        </w:rPr>
        <w:t>仓库布局地理信息系统</w:t>
      </w:r>
      <w:r>
        <w:tab/>
      </w:r>
      <w:r>
        <w:fldChar w:fldCharType="begin"/>
      </w:r>
      <w:r>
        <w:instrText xml:space="preserve"> PAGEREF _Toc9608 \h </w:instrText>
      </w:r>
      <w:r>
        <w:fldChar w:fldCharType="separate"/>
      </w:r>
      <w:r>
        <w:t>6</w:t>
      </w:r>
      <w:r>
        <w:fldChar w:fldCharType="end"/>
      </w:r>
      <w:r>
        <w:fldChar w:fldCharType="end"/>
      </w:r>
    </w:p>
    <w:p w14:paraId="7EC3115F">
      <w:pPr>
        <w:pStyle w:val="24"/>
        <w:tabs>
          <w:tab w:val="right" w:leader="dot" w:pos="9354"/>
          <w:tab w:val="clear" w:pos="9344"/>
        </w:tabs>
      </w:pPr>
      <w:r>
        <w:fldChar w:fldCharType="begin"/>
      </w:r>
      <w:r>
        <w:instrText xml:space="preserve"> HYPERLINK \l "_Toc18658" </w:instrText>
      </w:r>
      <w:r>
        <w:fldChar w:fldCharType="separate"/>
      </w:r>
      <w:r>
        <w:rPr>
          <w:rFonts w:hint="eastAsia" w:ascii="黑体" w:hAnsi="Times New Roman" w:eastAsia="黑体"/>
          <w:kern w:val="0"/>
          <w14:scene3d>
            <w14:lightRig w14:rig="threePt" w14:dir="t">
              <w14:rot w14:lat="0" w14:lon="0" w14:rev="0"/>
            </w14:lightRig>
          </w14:scene3d>
        </w:rPr>
        <w:t xml:space="preserve">7.3 </w:t>
      </w:r>
      <w:r>
        <w:rPr>
          <w:rFonts w:hint="eastAsia"/>
        </w:rPr>
        <w:t>业务管理系统</w:t>
      </w:r>
      <w:r>
        <w:tab/>
      </w:r>
      <w:r>
        <w:fldChar w:fldCharType="begin"/>
      </w:r>
      <w:r>
        <w:instrText xml:space="preserve"> PAGEREF _Toc18658 \h </w:instrText>
      </w:r>
      <w:r>
        <w:fldChar w:fldCharType="separate"/>
      </w:r>
      <w:r>
        <w:t>6</w:t>
      </w:r>
      <w:r>
        <w:fldChar w:fldCharType="end"/>
      </w:r>
      <w:r>
        <w:fldChar w:fldCharType="end"/>
      </w:r>
    </w:p>
    <w:p w14:paraId="1C7E72B5">
      <w:pPr>
        <w:pStyle w:val="24"/>
        <w:tabs>
          <w:tab w:val="right" w:leader="dot" w:pos="9354"/>
          <w:tab w:val="clear" w:pos="9344"/>
        </w:tabs>
      </w:pPr>
      <w:r>
        <w:fldChar w:fldCharType="begin"/>
      </w:r>
      <w:r>
        <w:instrText xml:space="preserve"> HYPERLINK \l "_Toc3892" </w:instrText>
      </w:r>
      <w:r>
        <w:fldChar w:fldCharType="separate"/>
      </w:r>
      <w:r>
        <w:rPr>
          <w:rFonts w:hint="eastAsia" w:ascii="黑体" w:hAnsi="Times New Roman" w:eastAsia="黑体"/>
          <w:kern w:val="0"/>
          <w14:scene3d>
            <w14:lightRig w14:rig="threePt" w14:dir="t">
              <w14:rot w14:lat="0" w14:lon="0" w14:rev="0"/>
            </w14:lightRig>
          </w14:scene3d>
        </w:rPr>
        <w:t xml:space="preserve">7.4 </w:t>
      </w:r>
      <w:r>
        <w:rPr>
          <w:rFonts w:hint="eastAsia"/>
        </w:rPr>
        <w:t>虚拟平台</w:t>
      </w:r>
      <w:r>
        <w:tab/>
      </w:r>
      <w:r>
        <w:fldChar w:fldCharType="begin"/>
      </w:r>
      <w:r>
        <w:instrText xml:space="preserve"> PAGEREF _Toc3892 \h </w:instrText>
      </w:r>
      <w:r>
        <w:fldChar w:fldCharType="separate"/>
      </w:r>
      <w:r>
        <w:t>6</w:t>
      </w:r>
      <w:r>
        <w:fldChar w:fldCharType="end"/>
      </w:r>
      <w:r>
        <w:fldChar w:fldCharType="end"/>
      </w:r>
    </w:p>
    <w:p w14:paraId="3A0353B5">
      <w:pPr>
        <w:pStyle w:val="19"/>
        <w:tabs>
          <w:tab w:val="right" w:leader="dot" w:pos="9354"/>
        </w:tabs>
      </w:pPr>
      <w:r>
        <w:fldChar w:fldCharType="begin"/>
      </w:r>
      <w:r>
        <w:instrText xml:space="preserve"> HYPERLINK \l "_Toc14411" </w:instrText>
      </w:r>
      <w:r>
        <w:fldChar w:fldCharType="separate"/>
      </w:r>
      <w:r>
        <w:rPr>
          <w:rFonts w:hint="eastAsia" w:ascii="黑体" w:eastAsia="黑体"/>
        </w:rPr>
        <w:t xml:space="preserve">8 </w:t>
      </w:r>
      <w:r>
        <w:rPr>
          <w:rFonts w:hint="eastAsia"/>
        </w:rPr>
        <w:t>全国平台系统建设</w:t>
      </w:r>
      <w:r>
        <w:tab/>
      </w:r>
      <w:r>
        <w:fldChar w:fldCharType="begin"/>
      </w:r>
      <w:r>
        <w:instrText xml:space="preserve"> PAGEREF _Toc14411 \h </w:instrText>
      </w:r>
      <w:r>
        <w:fldChar w:fldCharType="separate"/>
      </w:r>
      <w:r>
        <w:t>6</w:t>
      </w:r>
      <w:r>
        <w:fldChar w:fldCharType="end"/>
      </w:r>
      <w:r>
        <w:fldChar w:fldCharType="end"/>
      </w:r>
    </w:p>
    <w:p w14:paraId="2CAF2B4F">
      <w:pPr>
        <w:pStyle w:val="19"/>
        <w:tabs>
          <w:tab w:val="right" w:leader="dot" w:pos="9354"/>
        </w:tabs>
      </w:pPr>
      <w:r>
        <w:fldChar w:fldCharType="begin"/>
      </w:r>
      <w:r>
        <w:instrText xml:space="preserve"> HYPERLINK \l "_Toc24916" </w:instrText>
      </w:r>
      <w:r>
        <w:fldChar w:fldCharType="separate"/>
      </w:r>
      <w:r>
        <w:rPr>
          <w:rFonts w:hint="eastAsia" w:ascii="黑体" w:eastAsia="黑体"/>
        </w:rPr>
        <w:t xml:space="preserve">9 </w:t>
      </w:r>
      <w:r>
        <w:rPr>
          <w:rFonts w:hint="eastAsia"/>
        </w:rPr>
        <w:t>系统数据互联互通</w:t>
      </w:r>
      <w:r>
        <w:tab/>
      </w:r>
      <w:r>
        <w:fldChar w:fldCharType="begin"/>
      </w:r>
      <w:r>
        <w:instrText xml:space="preserve"> PAGEREF _Toc24916 \h </w:instrText>
      </w:r>
      <w:r>
        <w:fldChar w:fldCharType="separate"/>
      </w:r>
      <w:r>
        <w:t>7</w:t>
      </w:r>
      <w:r>
        <w:fldChar w:fldCharType="end"/>
      </w:r>
      <w:r>
        <w:fldChar w:fldCharType="end"/>
      </w:r>
    </w:p>
    <w:p w14:paraId="571D4665">
      <w:pPr>
        <w:pStyle w:val="24"/>
        <w:tabs>
          <w:tab w:val="right" w:leader="dot" w:pos="9354"/>
          <w:tab w:val="clear" w:pos="9344"/>
        </w:tabs>
      </w:pPr>
      <w:r>
        <w:fldChar w:fldCharType="begin"/>
      </w:r>
      <w:r>
        <w:instrText xml:space="preserve"> HYPERLINK \l "_Toc28671" </w:instrText>
      </w:r>
      <w:r>
        <w:fldChar w:fldCharType="separate"/>
      </w:r>
      <w:r>
        <w:rPr>
          <w:rFonts w:hint="eastAsia" w:ascii="黑体" w:hAnsi="Times New Roman" w:eastAsia="黑体"/>
          <w:kern w:val="0"/>
          <w14:scene3d>
            <w14:lightRig w14:rig="threePt" w14:dir="t">
              <w14:rot w14:lat="0" w14:lon="0" w14:rev="0"/>
            </w14:lightRig>
          </w14:scene3d>
        </w:rPr>
        <w:t xml:space="preserve">9.1 </w:t>
      </w:r>
      <w:r>
        <w:rPr>
          <w:rFonts w:hint="eastAsia"/>
        </w:rPr>
        <w:t>总体要求</w:t>
      </w:r>
      <w:r>
        <w:tab/>
      </w:r>
      <w:r>
        <w:fldChar w:fldCharType="begin"/>
      </w:r>
      <w:r>
        <w:instrText xml:space="preserve"> PAGEREF _Toc28671 \h </w:instrText>
      </w:r>
      <w:r>
        <w:fldChar w:fldCharType="separate"/>
      </w:r>
      <w:r>
        <w:t>7</w:t>
      </w:r>
      <w:r>
        <w:fldChar w:fldCharType="end"/>
      </w:r>
      <w:r>
        <w:fldChar w:fldCharType="end"/>
      </w:r>
    </w:p>
    <w:p w14:paraId="19228296">
      <w:pPr>
        <w:pStyle w:val="24"/>
        <w:tabs>
          <w:tab w:val="right" w:leader="dot" w:pos="9354"/>
          <w:tab w:val="clear" w:pos="9344"/>
        </w:tabs>
      </w:pPr>
      <w:r>
        <w:fldChar w:fldCharType="begin"/>
      </w:r>
      <w:r>
        <w:instrText xml:space="preserve"> HYPERLINK \l "_Toc666" </w:instrText>
      </w:r>
      <w:r>
        <w:fldChar w:fldCharType="separate"/>
      </w:r>
      <w:r>
        <w:rPr>
          <w:rFonts w:hint="eastAsia" w:ascii="黑体" w:hAnsi="Times New Roman" w:eastAsia="黑体"/>
          <w:kern w:val="0"/>
          <w14:scene3d>
            <w14:lightRig w14:rig="threePt" w14:dir="t">
              <w14:rot w14:lat="0" w14:lon="0" w14:rev="0"/>
            </w14:lightRig>
          </w14:scene3d>
        </w:rPr>
        <w:t xml:space="preserve">9.2 </w:t>
      </w:r>
      <w:r>
        <w:rPr>
          <w:rFonts w:hint="eastAsia"/>
        </w:rPr>
        <w:t>数据接口参数规范</w:t>
      </w:r>
      <w:r>
        <w:tab/>
      </w:r>
      <w:r>
        <w:fldChar w:fldCharType="begin"/>
      </w:r>
      <w:r>
        <w:instrText xml:space="preserve"> PAGEREF _Toc666 \h </w:instrText>
      </w:r>
      <w:r>
        <w:fldChar w:fldCharType="separate"/>
      </w:r>
      <w:r>
        <w:t>7</w:t>
      </w:r>
      <w:r>
        <w:fldChar w:fldCharType="end"/>
      </w:r>
      <w:r>
        <w:fldChar w:fldCharType="end"/>
      </w:r>
    </w:p>
    <w:p w14:paraId="5BF86B90">
      <w:pPr>
        <w:pStyle w:val="24"/>
        <w:tabs>
          <w:tab w:val="right" w:leader="dot" w:pos="9354"/>
          <w:tab w:val="clear" w:pos="9344"/>
        </w:tabs>
      </w:pPr>
      <w:r>
        <w:fldChar w:fldCharType="begin"/>
      </w:r>
      <w:r>
        <w:instrText xml:space="preserve"> HYPERLINK \l "_Toc15138" </w:instrText>
      </w:r>
      <w:r>
        <w:fldChar w:fldCharType="separate"/>
      </w:r>
      <w:r>
        <w:rPr>
          <w:rFonts w:hint="eastAsia" w:ascii="黑体" w:hAnsi="Times New Roman" w:eastAsia="黑体"/>
          <w:kern w:val="0"/>
          <w14:scene3d>
            <w14:lightRig w14:rig="threePt" w14:dir="t">
              <w14:rot w14:lat="0" w14:lon="0" w14:rev="0"/>
            </w14:lightRig>
          </w14:scene3d>
        </w:rPr>
        <w:t xml:space="preserve">9.3 </w:t>
      </w:r>
      <w:r>
        <w:rPr>
          <w:rFonts w:hint="eastAsia"/>
        </w:rPr>
        <w:t>数据服务</w:t>
      </w:r>
      <w:r>
        <w:tab/>
      </w:r>
      <w:r>
        <w:fldChar w:fldCharType="begin"/>
      </w:r>
      <w:r>
        <w:instrText xml:space="preserve"> PAGEREF _Toc15138 \h </w:instrText>
      </w:r>
      <w:r>
        <w:fldChar w:fldCharType="separate"/>
      </w:r>
      <w:r>
        <w:t>7</w:t>
      </w:r>
      <w:r>
        <w:fldChar w:fldCharType="end"/>
      </w:r>
      <w:r>
        <w:fldChar w:fldCharType="end"/>
      </w:r>
    </w:p>
    <w:p w14:paraId="6443608E">
      <w:pPr>
        <w:pStyle w:val="19"/>
        <w:tabs>
          <w:tab w:val="right" w:leader="dot" w:pos="9354"/>
        </w:tabs>
      </w:pPr>
      <w:r>
        <w:fldChar w:fldCharType="begin"/>
      </w:r>
      <w:r>
        <w:instrText xml:space="preserve"> HYPERLINK \l "_Toc31729" </w:instrText>
      </w:r>
      <w:r>
        <w:fldChar w:fldCharType="separate"/>
      </w:r>
      <w:r>
        <w:rPr>
          <w:rFonts w:hint="eastAsia" w:ascii="黑体" w:eastAsia="黑体"/>
        </w:rPr>
        <w:t xml:space="preserve">10 </w:t>
      </w:r>
      <w:r>
        <w:rPr>
          <w:rFonts w:hint="eastAsia"/>
        </w:rPr>
        <w:t>基础设施</w:t>
      </w:r>
      <w:r>
        <w:tab/>
      </w:r>
      <w:r>
        <w:fldChar w:fldCharType="begin"/>
      </w:r>
      <w:r>
        <w:instrText xml:space="preserve"> PAGEREF _Toc31729 \h </w:instrText>
      </w:r>
      <w:r>
        <w:fldChar w:fldCharType="separate"/>
      </w:r>
      <w:r>
        <w:t>8</w:t>
      </w:r>
      <w:r>
        <w:fldChar w:fldCharType="end"/>
      </w:r>
      <w:r>
        <w:fldChar w:fldCharType="end"/>
      </w:r>
    </w:p>
    <w:p w14:paraId="07DC2159">
      <w:pPr>
        <w:pStyle w:val="24"/>
        <w:tabs>
          <w:tab w:val="right" w:leader="dot" w:pos="9354"/>
          <w:tab w:val="clear" w:pos="9344"/>
        </w:tabs>
      </w:pPr>
      <w:r>
        <w:fldChar w:fldCharType="begin"/>
      </w:r>
      <w:r>
        <w:instrText xml:space="preserve"> HYPERLINK \l "_Toc2045" </w:instrText>
      </w:r>
      <w:r>
        <w:fldChar w:fldCharType="separate"/>
      </w:r>
      <w:r>
        <w:rPr>
          <w:rFonts w:hint="eastAsia" w:ascii="黑体" w:hAnsi="Times New Roman" w:eastAsia="黑体"/>
          <w:kern w:val="0"/>
          <w14:scene3d>
            <w14:lightRig w14:rig="threePt" w14:dir="t">
              <w14:rot w14:lat="0" w14:lon="0" w14:rev="0"/>
            </w14:lightRig>
          </w14:scene3d>
        </w:rPr>
        <w:t xml:space="preserve">10.1 </w:t>
      </w:r>
      <w:r>
        <w:rPr>
          <w:rFonts w:hint="eastAsia"/>
        </w:rPr>
        <w:t>机房</w:t>
      </w:r>
      <w:r>
        <w:tab/>
      </w:r>
      <w:r>
        <w:fldChar w:fldCharType="begin"/>
      </w:r>
      <w:r>
        <w:instrText xml:space="preserve"> PAGEREF _Toc2045 \h </w:instrText>
      </w:r>
      <w:r>
        <w:fldChar w:fldCharType="separate"/>
      </w:r>
      <w:r>
        <w:t>8</w:t>
      </w:r>
      <w:r>
        <w:fldChar w:fldCharType="end"/>
      </w:r>
      <w:r>
        <w:fldChar w:fldCharType="end"/>
      </w:r>
    </w:p>
    <w:p w14:paraId="22F80D2E">
      <w:pPr>
        <w:pStyle w:val="24"/>
        <w:tabs>
          <w:tab w:val="right" w:leader="dot" w:pos="9354"/>
          <w:tab w:val="clear" w:pos="9344"/>
        </w:tabs>
      </w:pPr>
      <w:r>
        <w:fldChar w:fldCharType="begin"/>
      </w:r>
      <w:r>
        <w:instrText xml:space="preserve"> HYPERLINK \l "_Toc3934" </w:instrText>
      </w:r>
      <w:r>
        <w:fldChar w:fldCharType="separate"/>
      </w:r>
      <w:r>
        <w:rPr>
          <w:rFonts w:hint="eastAsia" w:ascii="黑体" w:hAnsi="Times New Roman" w:eastAsia="黑体"/>
          <w:kern w:val="0"/>
          <w14:scene3d>
            <w14:lightRig w14:rig="threePt" w14:dir="t">
              <w14:rot w14:lat="0" w14:lon="0" w14:rev="0"/>
            </w14:lightRig>
          </w14:scene3d>
        </w:rPr>
        <w:t xml:space="preserve">10.2 </w:t>
      </w:r>
      <w:r>
        <w:rPr>
          <w:rFonts w:hint="eastAsia"/>
        </w:rPr>
        <w:t>通信网络</w:t>
      </w:r>
      <w:r>
        <w:tab/>
      </w:r>
      <w:r>
        <w:fldChar w:fldCharType="begin"/>
      </w:r>
      <w:r>
        <w:instrText xml:space="preserve"> PAGEREF _Toc3934 \h </w:instrText>
      </w:r>
      <w:r>
        <w:fldChar w:fldCharType="separate"/>
      </w:r>
      <w:r>
        <w:t>8</w:t>
      </w:r>
      <w:r>
        <w:fldChar w:fldCharType="end"/>
      </w:r>
      <w:r>
        <w:fldChar w:fldCharType="end"/>
      </w:r>
    </w:p>
    <w:p w14:paraId="211E59E1">
      <w:pPr>
        <w:pStyle w:val="24"/>
        <w:tabs>
          <w:tab w:val="right" w:leader="dot" w:pos="9354"/>
          <w:tab w:val="clear" w:pos="9344"/>
        </w:tabs>
      </w:pPr>
      <w:r>
        <w:fldChar w:fldCharType="begin"/>
      </w:r>
      <w:r>
        <w:instrText xml:space="preserve"> HYPERLINK \l "_Toc29149" </w:instrText>
      </w:r>
      <w:r>
        <w:fldChar w:fldCharType="separate"/>
      </w:r>
      <w:r>
        <w:rPr>
          <w:rFonts w:hint="eastAsia" w:ascii="黑体" w:hAnsi="Times New Roman" w:eastAsia="黑体"/>
          <w:kern w:val="0"/>
          <w14:scene3d>
            <w14:lightRig w14:rig="threePt" w14:dir="t">
              <w14:rot w14:lat="0" w14:lon="0" w14:rev="0"/>
            </w14:lightRig>
          </w14:scene3d>
        </w:rPr>
        <w:t xml:space="preserve">10.3 </w:t>
      </w:r>
      <w:r>
        <w:rPr>
          <w:rFonts w:hint="eastAsia"/>
        </w:rPr>
        <w:t>云平台</w:t>
      </w:r>
      <w:r>
        <w:tab/>
      </w:r>
      <w:r>
        <w:fldChar w:fldCharType="begin"/>
      </w:r>
      <w:r>
        <w:instrText xml:space="preserve"> PAGEREF _Toc29149 \h </w:instrText>
      </w:r>
      <w:r>
        <w:fldChar w:fldCharType="separate"/>
      </w:r>
      <w:r>
        <w:t>8</w:t>
      </w:r>
      <w:r>
        <w:fldChar w:fldCharType="end"/>
      </w:r>
      <w:r>
        <w:fldChar w:fldCharType="end"/>
      </w:r>
    </w:p>
    <w:p w14:paraId="246AE11C">
      <w:pPr>
        <w:pStyle w:val="19"/>
        <w:tabs>
          <w:tab w:val="right" w:leader="dot" w:pos="9354"/>
        </w:tabs>
      </w:pPr>
      <w:r>
        <w:fldChar w:fldCharType="begin"/>
      </w:r>
      <w:r>
        <w:instrText xml:space="preserve"> HYPERLINK \l "_Toc12013" </w:instrText>
      </w:r>
      <w:r>
        <w:fldChar w:fldCharType="separate"/>
      </w:r>
      <w:r>
        <w:rPr>
          <w:rFonts w:hint="eastAsia" w:ascii="黑体" w:eastAsia="黑体"/>
        </w:rPr>
        <w:t xml:space="preserve">11 </w:t>
      </w:r>
      <w:r>
        <w:rPr>
          <w:rFonts w:hint="eastAsia"/>
        </w:rPr>
        <w:t>安全与运维</w:t>
      </w:r>
      <w:r>
        <w:tab/>
      </w:r>
      <w:r>
        <w:fldChar w:fldCharType="begin"/>
      </w:r>
      <w:r>
        <w:instrText xml:space="preserve"> PAGEREF _Toc12013 \h </w:instrText>
      </w:r>
      <w:r>
        <w:fldChar w:fldCharType="separate"/>
      </w:r>
      <w:r>
        <w:t>8</w:t>
      </w:r>
      <w:r>
        <w:fldChar w:fldCharType="end"/>
      </w:r>
      <w:r>
        <w:fldChar w:fldCharType="end"/>
      </w:r>
    </w:p>
    <w:p w14:paraId="334AB6E1">
      <w:pPr>
        <w:pStyle w:val="24"/>
        <w:tabs>
          <w:tab w:val="right" w:leader="dot" w:pos="9354"/>
          <w:tab w:val="clear" w:pos="9344"/>
        </w:tabs>
      </w:pPr>
      <w:r>
        <w:fldChar w:fldCharType="begin"/>
      </w:r>
      <w:r>
        <w:instrText xml:space="preserve"> HYPERLINK \l "_Toc7876" </w:instrText>
      </w:r>
      <w:r>
        <w:fldChar w:fldCharType="separate"/>
      </w:r>
      <w:r>
        <w:rPr>
          <w:rFonts w:hint="eastAsia" w:ascii="黑体" w:hAnsi="Times New Roman" w:eastAsia="黑体"/>
          <w:kern w:val="0"/>
          <w14:scene3d>
            <w14:lightRig w14:rig="threePt" w14:dir="t">
              <w14:rot w14:lat="0" w14:lon="0" w14:rev="0"/>
            </w14:lightRig>
          </w14:scene3d>
        </w:rPr>
        <w:t xml:space="preserve">11.1 </w:t>
      </w:r>
      <w:r>
        <w:rPr>
          <w:rFonts w:hint="eastAsia"/>
        </w:rPr>
        <w:t>信息安全</w:t>
      </w:r>
      <w:r>
        <w:tab/>
      </w:r>
      <w:r>
        <w:fldChar w:fldCharType="begin"/>
      </w:r>
      <w:r>
        <w:instrText xml:space="preserve"> PAGEREF _Toc7876 \h </w:instrText>
      </w:r>
      <w:r>
        <w:fldChar w:fldCharType="separate"/>
      </w:r>
      <w:r>
        <w:t>8</w:t>
      </w:r>
      <w:r>
        <w:fldChar w:fldCharType="end"/>
      </w:r>
      <w:r>
        <w:fldChar w:fldCharType="end"/>
      </w:r>
    </w:p>
    <w:p w14:paraId="5456A90F">
      <w:pPr>
        <w:pStyle w:val="24"/>
        <w:tabs>
          <w:tab w:val="right" w:leader="dot" w:pos="9354"/>
          <w:tab w:val="clear" w:pos="9344"/>
        </w:tabs>
      </w:pPr>
      <w:r>
        <w:fldChar w:fldCharType="begin"/>
      </w:r>
      <w:r>
        <w:instrText xml:space="preserve"> HYPERLINK \l "_Toc7192" </w:instrText>
      </w:r>
      <w:r>
        <w:fldChar w:fldCharType="separate"/>
      </w:r>
      <w:r>
        <w:rPr>
          <w:rFonts w:hint="eastAsia" w:ascii="黑体" w:hAnsi="Times New Roman" w:eastAsia="黑体"/>
          <w:kern w:val="0"/>
          <w14:scene3d>
            <w14:lightRig w14:rig="threePt" w14:dir="t">
              <w14:rot w14:lat="0" w14:lon="0" w14:rev="0"/>
            </w14:lightRig>
          </w14:scene3d>
        </w:rPr>
        <w:t xml:space="preserve">11.2 </w:t>
      </w:r>
      <w:r>
        <w:rPr>
          <w:rFonts w:hint="eastAsia"/>
        </w:rPr>
        <w:t>运维保障</w:t>
      </w:r>
      <w:r>
        <w:tab/>
      </w:r>
      <w:r>
        <w:fldChar w:fldCharType="begin"/>
      </w:r>
      <w:r>
        <w:instrText xml:space="preserve"> PAGEREF _Toc7192 \h </w:instrText>
      </w:r>
      <w:r>
        <w:fldChar w:fldCharType="separate"/>
      </w:r>
      <w:r>
        <w:t>8</w:t>
      </w:r>
      <w:r>
        <w:fldChar w:fldCharType="end"/>
      </w:r>
      <w:r>
        <w:fldChar w:fldCharType="end"/>
      </w:r>
    </w:p>
    <w:p w14:paraId="1BA07DB1">
      <w:pPr>
        <w:pStyle w:val="19"/>
        <w:tabs>
          <w:tab w:val="right" w:leader="dot" w:pos="9354"/>
        </w:tabs>
      </w:pPr>
      <w:r>
        <w:fldChar w:fldCharType="begin"/>
      </w:r>
      <w:r>
        <w:instrText xml:space="preserve"> HYPERLINK \l "_Toc14274" </w:instrText>
      </w:r>
      <w:r>
        <w:fldChar w:fldCharType="separate"/>
      </w:r>
      <w:r>
        <w:rPr>
          <w:rFonts w:hint="eastAsia"/>
          <w:spacing w:val="100"/>
        </w:rPr>
        <w:t>附录A</w:t>
      </w:r>
      <w:r>
        <w:rPr>
          <w:rFonts w:hint="eastAsia"/>
        </w:rPr>
        <w:t>（规范性）</w:t>
      </w:r>
      <w:r>
        <w:t xml:space="preserve"> </w:t>
      </w:r>
      <w:r>
        <w:rPr>
          <w:rFonts w:hint="eastAsia"/>
        </w:rPr>
        <w:t>视频监控设备在线率</w:t>
      </w:r>
      <w:r>
        <w:tab/>
      </w:r>
      <w:r>
        <w:fldChar w:fldCharType="begin"/>
      </w:r>
      <w:r>
        <w:instrText xml:space="preserve"> PAGEREF _Toc14274 \h </w:instrText>
      </w:r>
      <w:r>
        <w:fldChar w:fldCharType="separate"/>
      </w:r>
      <w:r>
        <w:t>9</w:t>
      </w:r>
      <w:r>
        <w:fldChar w:fldCharType="end"/>
      </w:r>
      <w:r>
        <w:fldChar w:fldCharType="end"/>
      </w:r>
    </w:p>
    <w:p w14:paraId="7702AF96">
      <w:pPr>
        <w:pStyle w:val="19"/>
        <w:tabs>
          <w:tab w:val="right" w:leader="dot" w:pos="9354"/>
        </w:tabs>
      </w:pPr>
      <w:r>
        <w:fldChar w:fldCharType="begin"/>
      </w:r>
      <w:r>
        <w:instrText xml:space="preserve"> HYPERLINK \l "_Toc31557" </w:instrText>
      </w:r>
      <w:r>
        <w:fldChar w:fldCharType="separate"/>
      </w:r>
      <w:r>
        <w:rPr>
          <w:rFonts w:hint="eastAsia"/>
          <w:spacing w:val="105"/>
        </w:rPr>
        <w:t>参考文</w:t>
      </w:r>
      <w:r>
        <w:rPr>
          <w:rFonts w:hint="eastAsia"/>
        </w:rPr>
        <w:t>献</w:t>
      </w:r>
      <w:r>
        <w:tab/>
      </w:r>
      <w:r>
        <w:fldChar w:fldCharType="begin"/>
      </w:r>
      <w:r>
        <w:instrText xml:space="preserve"> PAGEREF _Toc31557 \h </w:instrText>
      </w:r>
      <w:r>
        <w:fldChar w:fldCharType="separate"/>
      </w:r>
      <w:r>
        <w:t>10</w:t>
      </w:r>
      <w:r>
        <w:fldChar w:fldCharType="end"/>
      </w:r>
      <w:r>
        <w:fldChar w:fldCharType="end"/>
      </w:r>
    </w:p>
    <w:p w14:paraId="3D1707DA">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2"/>
    <w:p w14:paraId="37950180">
      <w:pPr>
        <w:pStyle w:val="89"/>
        <w:spacing w:before="900" w:after="360"/>
      </w:pPr>
      <w:bookmarkStart w:id="25" w:name="_Toc21742"/>
      <w:bookmarkStart w:id="26" w:name="BookMark2"/>
      <w:r>
        <w:rPr>
          <w:rFonts w:hint="eastAsia"/>
          <w:spacing w:val="320"/>
        </w:rPr>
        <w:t>前</w:t>
      </w:r>
      <w:r>
        <w:rPr>
          <w:rFonts w:hint="eastAsia"/>
        </w:rPr>
        <w:t>言</w:t>
      </w:r>
      <w:bookmarkEnd w:id="23"/>
      <w:bookmarkEnd w:id="24"/>
      <w:bookmarkEnd w:id="25"/>
    </w:p>
    <w:p w14:paraId="6A675407">
      <w:pPr>
        <w:pStyle w:val="56"/>
        <w:ind w:firstLine="420"/>
      </w:pPr>
      <w:r>
        <w:rPr>
          <w:rFonts w:hint="eastAsia"/>
        </w:rPr>
        <w:t>本文件按照GB/T 1.1—2020《标准化工作导则  第1部分：标准化文件的结构和起草规则》的规定起草。</w:t>
      </w:r>
    </w:p>
    <w:p w14:paraId="190F8A27">
      <w:pPr>
        <w:pStyle w:val="56"/>
        <w:ind w:firstLine="420"/>
      </w:pPr>
      <w:r>
        <w:rPr>
          <w:rFonts w:hint="eastAsia"/>
        </w:rPr>
        <w:t>本文件由中国农业生产资料流通协会提出并归口。</w:t>
      </w:r>
    </w:p>
    <w:p w14:paraId="0433CC71">
      <w:pPr>
        <w:pStyle w:val="56"/>
        <w:ind w:firstLine="420"/>
      </w:pPr>
      <w:r>
        <w:rPr>
          <w:rFonts w:hint="eastAsia"/>
        </w:rPr>
        <w:t>本文件起草单位：中国农业生产资料流通协会、国家粮食和物资储备局科学研究院、中国农业生产资料集团有限公司、中农聚田(北京)农业科技有限公司、安徽辉隆农资集团股份有限公司、浙农集团股份有限公司、黑龙江倍丰农业生产资料集团有限公司、广东天禾农资股份有限公司、太极计算机股份有限公司。</w:t>
      </w:r>
    </w:p>
    <w:p w14:paraId="5236CF76">
      <w:pPr>
        <w:pStyle w:val="56"/>
        <w:ind w:firstLine="420"/>
        <w:rPr>
          <w:highlight w:val="none"/>
        </w:rPr>
      </w:pPr>
      <w:r>
        <w:rPr>
          <w:rFonts w:hint="eastAsia"/>
        </w:rPr>
        <w:t>本文件主要起草人：龙文、符纯华、程晓霖、许锋、苑江浩、乔利英、王晓雪、丁俊杰、郭祥飞、陈浩、周福燕、程婷婷、裘进、谢维、张宇</w:t>
      </w:r>
      <w:r>
        <w:rPr>
          <w:rFonts w:hint="eastAsia"/>
          <w:highlight w:val="none"/>
        </w:rPr>
        <w:t>航、陈耿华、金鑫、闫峰。</w:t>
      </w:r>
    </w:p>
    <w:p w14:paraId="1BC1B57D">
      <w:pPr>
        <w:pStyle w:val="56"/>
        <w:ind w:firstLine="420"/>
        <w:rPr>
          <w:highlight w:val="none"/>
        </w:rPr>
      </w:pPr>
    </w:p>
    <w:p w14:paraId="715C4B28">
      <w:pPr>
        <w:pStyle w:val="56"/>
        <w:ind w:firstLine="420"/>
        <w:rPr>
          <w:highlight w:val="none"/>
        </w:rPr>
        <w:sectPr>
          <w:pgSz w:w="11906" w:h="16838"/>
          <w:pgMar w:top="1928" w:right="1134" w:bottom="1134" w:left="1134" w:header="1418" w:footer="1134" w:gutter="284"/>
          <w:pgNumType w:fmt="upperRoman"/>
          <w:cols w:space="425" w:num="1"/>
          <w:formProt w:val="0"/>
          <w:docGrid w:linePitch="312" w:charSpace="0"/>
        </w:sectPr>
      </w:pPr>
    </w:p>
    <w:bookmarkEnd w:id="26"/>
    <w:p w14:paraId="7CBC3A0F">
      <w:pPr>
        <w:spacing w:line="20" w:lineRule="exact"/>
        <w:jc w:val="center"/>
        <w:rPr>
          <w:rFonts w:hint="eastAsia" w:ascii="黑体" w:hAnsi="黑体" w:eastAsia="黑体"/>
          <w:sz w:val="32"/>
          <w:szCs w:val="32"/>
          <w:highlight w:val="none"/>
        </w:rPr>
      </w:pPr>
      <w:bookmarkStart w:id="27" w:name="BookMark4"/>
    </w:p>
    <w:p w14:paraId="5C0C4D74">
      <w:pPr>
        <w:spacing w:line="20" w:lineRule="exact"/>
        <w:jc w:val="center"/>
        <w:rPr>
          <w:rFonts w:hint="eastAsia" w:ascii="黑体" w:hAnsi="黑体" w:eastAsia="黑体"/>
          <w:sz w:val="32"/>
          <w:szCs w:val="32"/>
          <w:highlight w:val="none"/>
        </w:rPr>
      </w:pPr>
    </w:p>
    <w:sdt>
      <w:sdtPr>
        <w:rPr>
          <w:highlight w:val="none"/>
        </w:rPr>
        <w:tag w:val="NEW_STAND_NAME"/>
        <w:id w:val="595910757"/>
        <w:lock w:val="sdtLocked"/>
        <w:placeholder>
          <w:docPart w:val="471C1D36B191426BB02ED1FDE685F98E"/>
        </w:placeholder>
      </w:sdtPr>
      <w:sdtEndPr>
        <w:rPr>
          <w:highlight w:val="none"/>
        </w:rPr>
      </w:sdtEndPr>
      <w:sdtContent>
        <w:p w14:paraId="5F044CA8">
          <w:pPr>
            <w:pStyle w:val="177"/>
            <w:spacing w:before="2" w:beforeLines="1" w:after="528" w:afterLines="220"/>
            <w:rPr>
              <w:rFonts w:hint="eastAsia"/>
              <w:highlight w:val="none"/>
            </w:rPr>
          </w:pPr>
          <w:bookmarkStart w:id="28" w:name="NEW_STAND_NAME"/>
          <w:r>
            <w:rPr>
              <w:rFonts w:hint="eastAsia"/>
              <w:highlight w:val="none"/>
            </w:rPr>
            <w:t>农资仓储信息化建设规范</w:t>
          </w:r>
        </w:p>
      </w:sdtContent>
    </w:sdt>
    <w:bookmarkEnd w:id="28"/>
    <w:p w14:paraId="42FDA9FD">
      <w:pPr>
        <w:pStyle w:val="104"/>
        <w:spacing w:before="240" w:after="240"/>
        <w:rPr>
          <w:highlight w:val="none"/>
        </w:rPr>
      </w:pPr>
      <w:bookmarkStart w:id="29" w:name="_Toc27253"/>
      <w:bookmarkStart w:id="30" w:name="_Toc26648465"/>
      <w:bookmarkStart w:id="31" w:name="_Toc24884211"/>
      <w:bookmarkStart w:id="32" w:name="_Toc26718930"/>
      <w:bookmarkStart w:id="33" w:name="_Toc17233333"/>
      <w:bookmarkStart w:id="34" w:name="_Toc17233325"/>
      <w:bookmarkStart w:id="35" w:name="_Toc26986530"/>
      <w:bookmarkStart w:id="36" w:name="_Toc26986771"/>
      <w:bookmarkStart w:id="37" w:name="_Toc214292399"/>
      <w:bookmarkStart w:id="38" w:name="_Toc97195091"/>
      <w:bookmarkStart w:id="39" w:name="_Toc214901856"/>
      <w:bookmarkStart w:id="40" w:name="_Toc24884218"/>
      <w:r>
        <w:rPr>
          <w:rFonts w:hint="eastAsia"/>
          <w:highlight w:val="none"/>
        </w:rPr>
        <w:t>范围</w:t>
      </w:r>
      <w:bookmarkEnd w:id="29"/>
      <w:bookmarkEnd w:id="30"/>
      <w:bookmarkEnd w:id="31"/>
      <w:bookmarkEnd w:id="32"/>
      <w:bookmarkEnd w:id="33"/>
      <w:bookmarkEnd w:id="34"/>
      <w:bookmarkEnd w:id="35"/>
      <w:bookmarkEnd w:id="36"/>
      <w:bookmarkEnd w:id="37"/>
      <w:bookmarkEnd w:id="38"/>
      <w:bookmarkEnd w:id="39"/>
      <w:bookmarkEnd w:id="40"/>
    </w:p>
    <w:p w14:paraId="186F2A66">
      <w:pPr>
        <w:pStyle w:val="56"/>
        <w:ind w:firstLine="420"/>
        <w:rPr>
          <w:highlight w:val="none"/>
        </w:rPr>
      </w:pPr>
      <w:bookmarkStart w:id="41" w:name="_Toc26648466"/>
      <w:bookmarkStart w:id="42" w:name="_Toc17233334"/>
      <w:bookmarkStart w:id="43" w:name="_Toc24884219"/>
      <w:bookmarkStart w:id="44" w:name="_Toc24884212"/>
      <w:bookmarkStart w:id="45" w:name="_Toc17233326"/>
      <w:r>
        <w:rPr>
          <w:rFonts w:hint="eastAsia"/>
          <w:highlight w:val="none"/>
        </w:rPr>
        <w:t>本</w:t>
      </w:r>
      <w:bookmarkStart w:id="46" w:name="_Hlk214006276"/>
      <w:r>
        <w:rPr>
          <w:rFonts w:hint="eastAsia"/>
          <w:highlight w:val="none"/>
        </w:rPr>
        <w:t>文件</w:t>
      </w:r>
      <w:bookmarkEnd w:id="46"/>
      <w:r>
        <w:rPr>
          <w:rFonts w:hint="eastAsia"/>
          <w:highlight w:val="none"/>
        </w:rPr>
        <w:t>规定了农资仓库信息系统、省级平台、全国平台的建设、数据互联互通及安全与运维要求。</w:t>
      </w:r>
    </w:p>
    <w:p w14:paraId="7BBA5C93">
      <w:pPr>
        <w:pStyle w:val="56"/>
        <w:ind w:firstLine="420"/>
        <w:rPr>
          <w:highlight w:val="none"/>
        </w:rPr>
      </w:pPr>
      <w:r>
        <w:rPr>
          <w:rFonts w:hint="eastAsia"/>
          <w:highlight w:val="none"/>
        </w:rPr>
        <w:t>本文件适用于农资仓储信息化体系的搭建、运行和维护。</w:t>
      </w:r>
    </w:p>
    <w:p w14:paraId="377E6538">
      <w:pPr>
        <w:pStyle w:val="104"/>
        <w:spacing w:before="240" w:after="240"/>
        <w:rPr>
          <w:highlight w:val="none"/>
        </w:rPr>
      </w:pPr>
      <w:bookmarkStart w:id="47" w:name="_Toc97195092"/>
      <w:bookmarkStart w:id="48" w:name="_Toc214292400"/>
      <w:bookmarkStart w:id="49" w:name="_Toc214901857"/>
      <w:bookmarkStart w:id="50" w:name="_Toc26718931"/>
      <w:bookmarkStart w:id="51" w:name="_Toc26986772"/>
      <w:bookmarkStart w:id="52" w:name="_Toc11755"/>
      <w:bookmarkStart w:id="53" w:name="_Toc26986531"/>
      <w:r>
        <w:rPr>
          <w:rFonts w:hint="eastAsia"/>
          <w:highlight w:val="none"/>
        </w:rPr>
        <w:t>规范性引用文件</w:t>
      </w:r>
      <w:bookmarkEnd w:id="41"/>
      <w:bookmarkEnd w:id="42"/>
      <w:bookmarkEnd w:id="43"/>
      <w:bookmarkEnd w:id="44"/>
      <w:bookmarkEnd w:id="45"/>
      <w:bookmarkEnd w:id="47"/>
      <w:bookmarkEnd w:id="48"/>
      <w:bookmarkEnd w:id="49"/>
      <w:bookmarkEnd w:id="50"/>
      <w:bookmarkEnd w:id="51"/>
      <w:bookmarkEnd w:id="52"/>
      <w:bookmarkEnd w:id="53"/>
    </w:p>
    <w:sdt>
      <w:sdtPr>
        <w:rPr>
          <w:rFonts w:hint="eastAsia"/>
          <w:highlight w:val="none"/>
        </w:rPr>
        <w:id w:val="715848253"/>
        <w:placeholder>
          <w:docPart w:val="E2AC7FF75AC7482F8DAA8D50BC7E384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06FDEBE4">
          <w:pPr>
            <w:pStyle w:val="56"/>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64F356F">
      <w:pPr>
        <w:pStyle w:val="56"/>
        <w:ind w:firstLine="420"/>
        <w:rPr>
          <w:highlight w:val="none"/>
        </w:rPr>
      </w:pPr>
      <w:r>
        <w:rPr>
          <w:rFonts w:hint="eastAsia"/>
          <w:highlight w:val="none"/>
        </w:rPr>
        <w:t>GB/T 2887 《计算机场地通用规范》</w:t>
      </w:r>
    </w:p>
    <w:p w14:paraId="37C1D896">
      <w:pPr>
        <w:pStyle w:val="56"/>
        <w:ind w:firstLine="420"/>
        <w:rPr>
          <w:highlight w:val="none"/>
        </w:rPr>
      </w:pPr>
      <w:r>
        <w:rPr>
          <w:rFonts w:hint="eastAsia"/>
          <w:highlight w:val="none"/>
        </w:rPr>
        <w:t>GB/T 8567 《计算机软件文档编制规范》</w:t>
      </w:r>
    </w:p>
    <w:p w14:paraId="229ED699">
      <w:pPr>
        <w:pStyle w:val="56"/>
        <w:ind w:firstLine="420"/>
        <w:rPr>
          <w:highlight w:val="none"/>
        </w:rPr>
      </w:pPr>
      <w:r>
        <w:rPr>
          <w:rFonts w:hint="eastAsia"/>
          <w:highlight w:val="none"/>
        </w:rPr>
        <w:t>GB/T 9385 《计算机软件需求规格说明规范》</w:t>
      </w:r>
    </w:p>
    <w:p w14:paraId="429B78D5">
      <w:pPr>
        <w:pStyle w:val="56"/>
        <w:ind w:firstLine="420"/>
        <w:rPr>
          <w:highlight w:val="none"/>
        </w:rPr>
      </w:pPr>
      <w:r>
        <w:rPr>
          <w:rFonts w:hint="eastAsia"/>
          <w:highlight w:val="none"/>
        </w:rPr>
        <w:t>GB/T 11457 《软件工程术语》</w:t>
      </w:r>
    </w:p>
    <w:p w14:paraId="617767A2">
      <w:pPr>
        <w:pStyle w:val="56"/>
        <w:ind w:firstLine="420"/>
        <w:rPr>
          <w:highlight w:val="none"/>
        </w:rPr>
      </w:pPr>
      <w:r>
        <w:rPr>
          <w:rFonts w:hint="eastAsia"/>
          <w:highlight w:val="none"/>
        </w:rPr>
        <w:t>GB/T 14394 《计算机电脑软件可靠性和可维护性管理》</w:t>
      </w:r>
    </w:p>
    <w:p w14:paraId="3CCF8D0A">
      <w:pPr>
        <w:pStyle w:val="56"/>
        <w:ind w:firstLine="420"/>
        <w:rPr>
          <w:highlight w:val="none"/>
        </w:rPr>
      </w:pPr>
      <w:r>
        <w:rPr>
          <w:rFonts w:hint="eastAsia"/>
          <w:highlight w:val="none"/>
        </w:rPr>
        <w:t>GB/T 20988 《信息安全技术 信息系统灾难恢复规范》</w:t>
      </w:r>
    </w:p>
    <w:p w14:paraId="016294A6">
      <w:pPr>
        <w:pStyle w:val="56"/>
        <w:ind w:firstLine="420"/>
        <w:rPr>
          <w:highlight w:val="none"/>
        </w:rPr>
      </w:pPr>
      <w:r>
        <w:rPr>
          <w:rFonts w:hint="eastAsia"/>
          <w:highlight w:val="none"/>
        </w:rPr>
        <w:t>GB/T 22239 《信息系统安全等级保护基本要求》</w:t>
      </w:r>
    </w:p>
    <w:p w14:paraId="3DED59E1">
      <w:pPr>
        <w:pStyle w:val="56"/>
        <w:ind w:firstLine="420"/>
        <w:rPr>
          <w:highlight w:val="none"/>
        </w:rPr>
      </w:pPr>
      <w:r>
        <w:rPr>
          <w:rFonts w:hint="eastAsia"/>
          <w:highlight w:val="none"/>
        </w:rPr>
        <w:t>GB/T 28181 《公共安全视频监控联网系统信息传输、交换、控制技术要求》</w:t>
      </w:r>
    </w:p>
    <w:p w14:paraId="559DE1B5">
      <w:pPr>
        <w:pStyle w:val="56"/>
        <w:ind w:firstLine="420"/>
        <w:rPr>
          <w:highlight w:val="none"/>
        </w:rPr>
      </w:pPr>
      <w:r>
        <w:rPr>
          <w:rFonts w:hint="eastAsia"/>
          <w:highlight w:val="none"/>
        </w:rPr>
        <w:t>GB/T 35295 《信息技术大数据术语》</w:t>
      </w:r>
    </w:p>
    <w:p w14:paraId="24E8C14F">
      <w:pPr>
        <w:pStyle w:val="56"/>
        <w:ind w:firstLine="420"/>
        <w:rPr>
          <w:highlight w:val="none"/>
        </w:rPr>
      </w:pPr>
      <w:r>
        <w:rPr>
          <w:rFonts w:hint="eastAsia"/>
          <w:highlight w:val="none"/>
        </w:rPr>
        <w:t>GB/T 36958 《网络安全等级保护安全管理中心技术要求信息安全等级保护管理办法》</w:t>
      </w:r>
    </w:p>
    <w:p w14:paraId="104CC466">
      <w:pPr>
        <w:pStyle w:val="56"/>
        <w:ind w:firstLine="420"/>
        <w:rPr>
          <w:highlight w:val="none"/>
        </w:rPr>
      </w:pPr>
      <w:r>
        <w:rPr>
          <w:rFonts w:hint="eastAsia"/>
          <w:highlight w:val="none"/>
        </w:rPr>
        <w:t>T/CAMPA 004-2024 《国家战略性农资（储备）库建设与管理规范》</w:t>
      </w:r>
    </w:p>
    <w:p w14:paraId="6C174894">
      <w:pPr>
        <w:pStyle w:val="104"/>
        <w:spacing w:before="240" w:after="240"/>
        <w:rPr>
          <w:highlight w:val="none"/>
        </w:rPr>
      </w:pPr>
      <w:bookmarkStart w:id="54" w:name="_Toc97195093"/>
      <w:bookmarkStart w:id="55" w:name="_Toc6553"/>
      <w:bookmarkStart w:id="56" w:name="_Toc214901858"/>
      <w:bookmarkStart w:id="57" w:name="_Toc214292401"/>
      <w:r>
        <w:rPr>
          <w:rFonts w:hint="eastAsia"/>
          <w:szCs w:val="21"/>
          <w:highlight w:val="none"/>
        </w:rPr>
        <w:t>术语和定义</w:t>
      </w:r>
      <w:bookmarkEnd w:id="54"/>
      <w:bookmarkEnd w:id="55"/>
      <w:bookmarkEnd w:id="56"/>
      <w:bookmarkEnd w:id="57"/>
    </w:p>
    <w:sdt>
      <w:sdtPr>
        <w:rPr>
          <w:highlight w:val="none"/>
        </w:rPr>
        <w:id w:val="-1909835108"/>
        <w:placeholder>
          <w:docPart w:val="792608CBDC004C0B8D82597476A0A2F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highlight w:val="none"/>
        </w:rPr>
      </w:sdtEndPr>
      <w:sdtContent>
        <w:p w14:paraId="54485990">
          <w:pPr>
            <w:pStyle w:val="56"/>
            <w:ind w:firstLine="420"/>
            <w:rPr>
              <w:highlight w:val="none"/>
            </w:rPr>
          </w:pPr>
          <w:bookmarkStart w:id="58" w:name="_Toc26986532"/>
          <w:bookmarkEnd w:id="58"/>
          <w:r>
            <w:rPr>
              <w:highlight w:val="none"/>
            </w:rPr>
            <w:t>GB/T 43420界定的以及下列术语和定义适用于本文件。</w:t>
          </w:r>
        </w:p>
      </w:sdtContent>
    </w:sdt>
    <w:p w14:paraId="76A0D6A1">
      <w:pPr>
        <w:pStyle w:val="223"/>
        <w:ind w:left="525" w:leftChars="50" w:hanging="420" w:hangingChars="200"/>
        <w:rPr>
          <w:rFonts w:hint="eastAsia" w:ascii="黑体" w:hAnsi="黑体" w:eastAsia="黑体"/>
          <w:highlight w:val="none"/>
        </w:rPr>
      </w:pPr>
      <w:r>
        <w:rPr>
          <w:rFonts w:hint="eastAsia" w:ascii="黑体" w:hAnsi="黑体" w:eastAsia="黑体"/>
          <w:highlight w:val="none"/>
        </w:rPr>
        <w:t>农业生产资料  agricultural production means</w:t>
      </w:r>
    </w:p>
    <w:p w14:paraId="1356DF38">
      <w:pPr>
        <w:pStyle w:val="56"/>
        <w:ind w:firstLine="422"/>
        <w:rPr>
          <w:b/>
          <w:bCs/>
          <w:highlight w:val="none"/>
        </w:rPr>
      </w:pPr>
      <w:r>
        <w:rPr>
          <w:rFonts w:hint="eastAsia"/>
          <w:b/>
          <w:bCs/>
          <w:highlight w:val="none"/>
        </w:rPr>
        <w:t>农资</w:t>
      </w:r>
    </w:p>
    <w:p w14:paraId="06BE1D39">
      <w:pPr>
        <w:pStyle w:val="56"/>
        <w:ind w:firstLine="420"/>
        <w:rPr>
          <w:highlight w:val="none"/>
        </w:rPr>
      </w:pPr>
      <w:r>
        <w:rPr>
          <w:rFonts w:hint="eastAsia"/>
          <w:highlight w:val="none"/>
        </w:rPr>
        <w:t>农业生产所需投入的物质资料。</w:t>
      </w:r>
    </w:p>
    <w:p w14:paraId="4673B7D3">
      <w:pPr>
        <w:pStyle w:val="179"/>
        <w:rPr>
          <w:highlight w:val="none"/>
        </w:rPr>
      </w:pPr>
      <w:r>
        <w:rPr>
          <w:rFonts w:hint="eastAsia"/>
          <w:highlight w:val="none"/>
        </w:rPr>
        <w:t>通常包括肥料、农药、农膜、种子、饲料和饲料添加剂、兽药、农机具及配件等。</w:t>
      </w:r>
    </w:p>
    <w:p w14:paraId="605FE242">
      <w:pPr>
        <w:pStyle w:val="56"/>
        <w:ind w:firstLine="420"/>
        <w:rPr>
          <w:highlight w:val="none"/>
        </w:rPr>
      </w:pPr>
      <w:r>
        <w:rPr>
          <w:rFonts w:hint="eastAsia"/>
          <w:highlight w:val="none"/>
        </w:rPr>
        <w:t>[来源:GB/T 43420-2023,3.1]</w:t>
      </w:r>
    </w:p>
    <w:p w14:paraId="5977D830">
      <w:pPr>
        <w:pStyle w:val="105"/>
        <w:spacing w:before="120" w:after="120"/>
        <w:rPr>
          <w:highlight w:val="none"/>
        </w:rPr>
      </w:pPr>
      <w:bookmarkStart w:id="59" w:name="_Toc214901860"/>
      <w:bookmarkStart w:id="60" w:name="_Toc217055478"/>
      <w:bookmarkStart w:id="61" w:name="_Toc11727"/>
      <w:bookmarkStart w:id="62" w:name="_Hlk215128689"/>
      <w:bookmarkStart w:id="63" w:name="_Toc214901859"/>
      <w:r>
        <w:rPr>
          <w:rFonts w:hint="eastAsia"/>
          <w:highlight w:val="none"/>
        </w:rPr>
        <w:t>农资仓储信息化体系</w:t>
      </w:r>
      <w:bookmarkEnd w:id="59"/>
      <w:r>
        <w:rPr>
          <w:rFonts w:hint="eastAsia"/>
          <w:highlight w:val="none"/>
        </w:rPr>
        <w:t xml:space="preserve">  Agricultural Materials Warehousing Information System</w:t>
      </w:r>
      <w:bookmarkEnd w:id="60"/>
      <w:bookmarkEnd w:id="61"/>
    </w:p>
    <w:bookmarkEnd w:id="62"/>
    <w:p w14:paraId="65AD9DF3">
      <w:pPr>
        <w:pStyle w:val="56"/>
        <w:ind w:firstLine="420"/>
        <w:rPr>
          <w:highlight w:val="none"/>
        </w:rPr>
      </w:pPr>
      <w:r>
        <w:rPr>
          <w:rFonts w:hint="eastAsia"/>
          <w:highlight w:val="none"/>
        </w:rPr>
        <w:t>由农资仓库信息系统、省级平台、全国平台三级架构组成，以业务、技术、应用和网络为主要内容的协同体系，满足农资仓库的统一管理要求和各省级农资业务管理部门、相关政府部门的管理需求。</w:t>
      </w:r>
    </w:p>
    <w:p w14:paraId="50915E6D">
      <w:pPr>
        <w:pStyle w:val="105"/>
        <w:spacing w:before="120" w:after="120"/>
        <w:rPr>
          <w:highlight w:val="none"/>
        </w:rPr>
      </w:pPr>
      <w:bookmarkStart w:id="64" w:name="_Toc16155"/>
      <w:bookmarkStart w:id="65" w:name="_Toc217055479"/>
      <w:bookmarkStart w:id="66" w:name="_Toc214901861"/>
      <w:bookmarkStart w:id="67" w:name="_Toc214292402"/>
      <w:r>
        <w:rPr>
          <w:rFonts w:hint="eastAsia"/>
          <w:highlight w:val="none"/>
        </w:rPr>
        <w:t>农资</w:t>
      </w:r>
      <w:bookmarkStart w:id="68" w:name="_Hlk214006832"/>
      <w:r>
        <w:rPr>
          <w:rFonts w:hint="eastAsia"/>
          <w:highlight w:val="none"/>
        </w:rPr>
        <w:t>仓库</w:t>
      </w:r>
      <w:bookmarkEnd w:id="68"/>
      <w:r>
        <w:rPr>
          <w:rFonts w:hint="eastAsia"/>
          <w:highlight w:val="none"/>
        </w:rPr>
        <w:t>信息系统 Agricultural Materials Warehouse Information System</w:t>
      </w:r>
      <w:bookmarkEnd w:id="64"/>
      <w:bookmarkEnd w:id="65"/>
    </w:p>
    <w:p w14:paraId="73E04BB1">
      <w:pPr>
        <w:pStyle w:val="56"/>
        <w:ind w:firstLine="420"/>
        <w:rPr>
          <w:highlight w:val="none"/>
        </w:rPr>
      </w:pPr>
      <w:r>
        <w:rPr>
          <w:rFonts w:hint="eastAsia"/>
          <w:highlight w:val="none"/>
        </w:rPr>
        <w:t>以人为主导，利用计算机软硬件、网络通信及其他设备，完成对农资仓库的购销调运、存储保管及库区管理等业务信息的采集、传输、加工、储存、更新、拓展和维护的信息系统。</w:t>
      </w:r>
    </w:p>
    <w:p w14:paraId="7EC4CC2B">
      <w:pPr>
        <w:pStyle w:val="105"/>
        <w:spacing w:before="120" w:after="120"/>
        <w:rPr>
          <w:highlight w:val="none"/>
        </w:rPr>
      </w:pPr>
      <w:bookmarkStart w:id="69" w:name="_Toc214901862"/>
      <w:bookmarkStart w:id="70" w:name="_Toc26208"/>
      <w:bookmarkStart w:id="71" w:name="_Toc217055480"/>
      <w:r>
        <w:rPr>
          <w:rFonts w:hint="eastAsia"/>
          <w:highlight w:val="none"/>
        </w:rPr>
        <w:t>省级平台</w:t>
      </w:r>
      <w:bookmarkEnd w:id="69"/>
      <w:r>
        <w:rPr>
          <w:rFonts w:hint="eastAsia"/>
          <w:highlight w:val="none"/>
        </w:rPr>
        <w:t xml:space="preserve"> Provincial platform</w:t>
      </w:r>
      <w:bookmarkEnd w:id="70"/>
      <w:bookmarkEnd w:id="71"/>
    </w:p>
    <w:p w14:paraId="5ED98C06">
      <w:pPr>
        <w:pStyle w:val="56"/>
        <w:ind w:firstLine="420"/>
        <w:rPr>
          <w:highlight w:val="none"/>
        </w:rPr>
      </w:pPr>
      <w:r>
        <w:rPr>
          <w:rFonts w:hint="eastAsia"/>
          <w:highlight w:val="none"/>
        </w:rPr>
        <w:t>是省级农资仓储信息化统一管理平台，通过服务集成和数据交换两种手段，搭建统一的业务管理和信息交换中心，实现与本省农资仓库信息系统、全国平台的数据传输与信息交换。</w:t>
      </w:r>
    </w:p>
    <w:p w14:paraId="5ADDAC80">
      <w:pPr>
        <w:pStyle w:val="105"/>
        <w:spacing w:before="120" w:after="120"/>
        <w:rPr>
          <w:highlight w:val="none"/>
        </w:rPr>
      </w:pPr>
      <w:bookmarkStart w:id="72" w:name="_Hlk215128990"/>
      <w:bookmarkStart w:id="73" w:name="_Hlk215128575"/>
      <w:bookmarkStart w:id="74" w:name="_Toc217055481"/>
      <w:bookmarkStart w:id="75" w:name="_Toc20548"/>
      <w:r>
        <w:rPr>
          <w:rFonts w:hint="eastAsia"/>
          <w:highlight w:val="none"/>
        </w:rPr>
        <w:t>全国</w:t>
      </w:r>
      <w:bookmarkEnd w:id="72"/>
      <w:r>
        <w:rPr>
          <w:rFonts w:hint="eastAsia"/>
          <w:highlight w:val="none"/>
        </w:rPr>
        <w:t>平台</w:t>
      </w:r>
      <w:bookmarkEnd w:id="66"/>
      <w:bookmarkEnd w:id="73"/>
      <w:r>
        <w:rPr>
          <w:rFonts w:hint="eastAsia"/>
          <w:highlight w:val="none"/>
        </w:rPr>
        <w:t xml:space="preserve"> National platform</w:t>
      </w:r>
      <w:bookmarkEnd w:id="74"/>
      <w:bookmarkEnd w:id="75"/>
    </w:p>
    <w:p w14:paraId="052FA10A">
      <w:pPr>
        <w:pStyle w:val="56"/>
        <w:ind w:firstLine="420"/>
        <w:rPr>
          <w:highlight w:val="none"/>
        </w:rPr>
      </w:pPr>
      <w:r>
        <w:rPr>
          <w:rFonts w:hint="eastAsia"/>
          <w:highlight w:val="none"/>
        </w:rPr>
        <w:t>是全国农资仓储信息化统一管理平台，通过与农资仓库信息系统、省级平台的数据传输与信息交换，形成数据互联互通、系统高效协同的行业管理新模式，实现对农资仓库的统一管理。</w:t>
      </w:r>
    </w:p>
    <w:bookmarkEnd w:id="63"/>
    <w:bookmarkEnd w:id="67"/>
    <w:p w14:paraId="0F41BDC0">
      <w:pPr>
        <w:pStyle w:val="104"/>
        <w:spacing w:before="240" w:after="240"/>
        <w:rPr>
          <w:highlight w:val="none"/>
        </w:rPr>
      </w:pPr>
      <w:bookmarkStart w:id="76" w:name="_Toc214292405"/>
      <w:bookmarkStart w:id="77" w:name="_Toc214901863"/>
      <w:bookmarkStart w:id="78" w:name="_Toc24566"/>
      <w:r>
        <w:rPr>
          <w:rFonts w:hint="eastAsia"/>
          <w:highlight w:val="none"/>
        </w:rPr>
        <w:t>总体要求</w:t>
      </w:r>
      <w:bookmarkEnd w:id="76"/>
      <w:bookmarkEnd w:id="77"/>
      <w:bookmarkEnd w:id="78"/>
    </w:p>
    <w:p w14:paraId="68191C4E">
      <w:pPr>
        <w:pStyle w:val="162"/>
        <w:rPr>
          <w:highlight w:val="none"/>
        </w:rPr>
      </w:pPr>
      <w:r>
        <w:rPr>
          <w:rFonts w:hint="eastAsia"/>
          <w:highlight w:val="none"/>
        </w:rPr>
        <w:t>农资仓储信息化建设应坚持“统筹协调、经济适用、安全可靠”的基本原则。</w:t>
      </w:r>
    </w:p>
    <w:p w14:paraId="265FC6F6">
      <w:pPr>
        <w:pStyle w:val="162"/>
        <w:rPr>
          <w:highlight w:val="none"/>
        </w:rPr>
      </w:pPr>
      <w:r>
        <w:rPr>
          <w:rFonts w:hint="eastAsia"/>
          <w:highlight w:val="none"/>
        </w:rPr>
        <w:t>农资仓储信息化建设应符合各级政府编制的相关规划和信息化建设要求。</w:t>
      </w:r>
    </w:p>
    <w:p w14:paraId="4360910D">
      <w:pPr>
        <w:pStyle w:val="162"/>
        <w:rPr>
          <w:highlight w:val="none"/>
        </w:rPr>
      </w:pPr>
      <w:r>
        <w:rPr>
          <w:rFonts w:hint="eastAsia"/>
          <w:highlight w:val="none"/>
        </w:rPr>
        <w:t>信息系统设计应遵循“业务同步、同数同源、互通共享、安全可控”的原则。</w:t>
      </w:r>
    </w:p>
    <w:p w14:paraId="6AA976B6">
      <w:pPr>
        <w:pStyle w:val="104"/>
        <w:spacing w:before="240" w:after="240"/>
        <w:rPr>
          <w:highlight w:val="none"/>
        </w:rPr>
      </w:pPr>
      <w:bookmarkStart w:id="79" w:name="_Toc214901864"/>
      <w:bookmarkStart w:id="80" w:name="_Toc17265"/>
      <w:bookmarkStart w:id="81" w:name="_Toc214292406"/>
      <w:r>
        <w:rPr>
          <w:rFonts w:hint="eastAsia"/>
          <w:highlight w:val="none"/>
        </w:rPr>
        <w:t>总体架构</w:t>
      </w:r>
      <w:bookmarkEnd w:id="79"/>
      <w:bookmarkEnd w:id="80"/>
      <w:bookmarkEnd w:id="81"/>
    </w:p>
    <w:p w14:paraId="023C1FE7">
      <w:pPr>
        <w:pStyle w:val="105"/>
        <w:spacing w:before="120" w:after="120"/>
        <w:rPr>
          <w:highlight w:val="none"/>
        </w:rPr>
      </w:pPr>
      <w:bookmarkStart w:id="82" w:name="_Toc214901865"/>
      <w:bookmarkStart w:id="83" w:name="_Toc12598"/>
      <w:bookmarkStart w:id="84" w:name="_Hlk214290192"/>
      <w:r>
        <w:rPr>
          <w:rFonts w:hint="eastAsia"/>
          <w:highlight w:val="none"/>
        </w:rPr>
        <w:t>应用架构</w:t>
      </w:r>
      <w:bookmarkEnd w:id="82"/>
      <w:bookmarkEnd w:id="83"/>
    </w:p>
    <w:p w14:paraId="57A09717">
      <w:pPr>
        <w:pStyle w:val="56"/>
        <w:ind w:firstLine="420"/>
        <w:rPr>
          <w:highlight w:val="none"/>
        </w:rPr>
      </w:pPr>
      <w:r>
        <w:rPr>
          <w:rFonts w:hint="eastAsia"/>
          <w:highlight w:val="none"/>
        </w:rPr>
        <w:t>农资仓储信息化体系应采用农资仓库信息系统、省级平台、全国平台三级应用架构。农资仓储信息系统可部署在本地或者云端，数据可直接上传至省级平台，省级平台将相关数据清洗、抽取和转换后上传至全国平台，可根据用户权限使用全国平台、省级平台的云服务功能。省级平台、全国平台宜采用云计算模式。</w:t>
      </w:r>
    </w:p>
    <w:p w14:paraId="46D133B6">
      <w:pPr>
        <w:pStyle w:val="105"/>
        <w:spacing w:before="120" w:after="120"/>
        <w:rPr>
          <w:highlight w:val="none"/>
        </w:rPr>
      </w:pPr>
      <w:bookmarkStart w:id="85" w:name="_Toc214901866"/>
      <w:bookmarkStart w:id="86" w:name="_Toc28533"/>
      <w:r>
        <w:rPr>
          <w:rFonts w:hint="eastAsia"/>
          <w:highlight w:val="none"/>
        </w:rPr>
        <w:t>技术架构</w:t>
      </w:r>
      <w:bookmarkEnd w:id="85"/>
      <w:bookmarkEnd w:id="86"/>
    </w:p>
    <w:p w14:paraId="62B99C3D">
      <w:pPr>
        <w:pStyle w:val="65"/>
        <w:spacing w:before="120" w:after="120"/>
        <w:rPr>
          <w:highlight w:val="none"/>
        </w:rPr>
      </w:pPr>
      <w:bookmarkStart w:id="87" w:name="_Hlk214890101"/>
      <w:bookmarkStart w:id="88" w:name="_Hlk215129593"/>
      <w:r>
        <w:rPr>
          <w:rFonts w:hint="eastAsia"/>
          <w:highlight w:val="none"/>
        </w:rPr>
        <w:t>农资仓库信息</w:t>
      </w:r>
      <w:bookmarkEnd w:id="87"/>
      <w:r>
        <w:rPr>
          <w:rFonts w:hint="eastAsia"/>
          <w:highlight w:val="none"/>
        </w:rPr>
        <w:t>系统</w:t>
      </w:r>
    </w:p>
    <w:p w14:paraId="05ABC92C">
      <w:pPr>
        <w:pStyle w:val="56"/>
        <w:ind w:firstLine="420"/>
        <w:rPr>
          <w:b/>
          <w:bCs/>
          <w:highlight w:val="none"/>
        </w:rPr>
      </w:pPr>
      <w:r>
        <w:rPr>
          <w:rFonts w:hint="eastAsia"/>
          <w:highlight w:val="none"/>
        </w:rPr>
        <w:t>农资仓库信息系统重点规范物联网技术和视频级联技术的应用，落实农资仓储过程中涉及的农资品类、数量、布局等数据的采集、汇总、传输和展示。农资仓库信息系统技术架构宜采用“云+网”架构。农资仓库信息系统技术架构见图1。</w:t>
      </w:r>
    </w:p>
    <w:p w14:paraId="2A515DE0">
      <w:pPr>
        <w:pStyle w:val="56"/>
        <w:ind w:firstLine="0" w:firstLineChars="0"/>
        <w:jc w:val="center"/>
        <w:rPr>
          <w:highlight w:val="none"/>
        </w:rPr>
      </w:pPr>
      <w:r>
        <w:rPr>
          <w:highlight w:val="none"/>
        </w:rPr>
        <w:drawing>
          <wp:inline distT="0" distB="0" distL="114300" distR="114300">
            <wp:extent cx="5937250" cy="3280410"/>
            <wp:effectExtent l="0" t="0" r="6350" b="152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tretch>
                      <a:fillRect/>
                    </a:stretch>
                  </pic:blipFill>
                  <pic:spPr>
                    <a:xfrm>
                      <a:off x="0" y="0"/>
                      <a:ext cx="5937250" cy="3280410"/>
                    </a:xfrm>
                    <a:prstGeom prst="rect">
                      <a:avLst/>
                    </a:prstGeom>
                    <a:noFill/>
                    <a:ln>
                      <a:noFill/>
                    </a:ln>
                  </pic:spPr>
                </pic:pic>
              </a:graphicData>
            </a:graphic>
          </wp:inline>
        </w:drawing>
      </w:r>
    </w:p>
    <w:p w14:paraId="0E8B1965">
      <w:pPr>
        <w:pStyle w:val="56"/>
        <w:ind w:firstLine="420"/>
        <w:rPr>
          <w:highlight w:val="none"/>
        </w:rPr>
      </w:pPr>
      <w:r>
        <w:rPr>
          <w:rFonts w:hint="eastAsia"/>
          <w:highlight w:val="none"/>
        </w:rPr>
        <w:t>包括：机房、数据库、通信网络等支撑系统部署及运行的基础设施</w:t>
      </w:r>
    </w:p>
    <w:p w14:paraId="0959E1F4">
      <w:pPr>
        <w:pStyle w:val="114"/>
        <w:spacing w:before="120" w:after="120"/>
        <w:rPr>
          <w:highlight w:val="none"/>
        </w:rPr>
      </w:pPr>
      <w:r>
        <w:rPr>
          <w:rFonts w:hint="eastAsia"/>
          <w:highlight w:val="none"/>
        </w:rPr>
        <w:t>农资仓库信息系统技术架构图</w:t>
      </w:r>
      <w:bookmarkEnd w:id="88"/>
    </w:p>
    <w:p w14:paraId="583E1233">
      <w:pPr>
        <w:pStyle w:val="65"/>
        <w:spacing w:before="120" w:after="120"/>
        <w:rPr>
          <w:highlight w:val="none"/>
        </w:rPr>
      </w:pPr>
      <w:r>
        <w:rPr>
          <w:rFonts w:hint="eastAsia"/>
          <w:highlight w:val="none"/>
        </w:rPr>
        <w:t>省级平台</w:t>
      </w:r>
    </w:p>
    <w:p w14:paraId="604D1015">
      <w:pPr>
        <w:pStyle w:val="56"/>
        <w:ind w:firstLine="420"/>
        <w:rPr>
          <w:highlight w:val="none"/>
        </w:rPr>
      </w:pPr>
      <w:r>
        <w:rPr>
          <w:rFonts w:hint="eastAsia"/>
          <w:highlight w:val="none"/>
        </w:rPr>
        <w:t>省级平台应结合管理需求，做好数据归集汇总，按统一规范对接全国平台，提供本省农资的出入库、库存、品类和管理核查等业务数据。省级平台整体架构可采用“云+网+端”或“云+网”架构，将各类应用和数据整体汇聚到云端，满足辖区范围内农资业务管理部门管理要求。省级平台技术架构按图2。</w:t>
      </w:r>
    </w:p>
    <w:p w14:paraId="076EE281">
      <w:pPr>
        <w:pStyle w:val="56"/>
        <w:ind w:firstLine="0" w:firstLineChars="0"/>
        <w:jc w:val="center"/>
        <w:rPr>
          <w:highlight w:val="none"/>
        </w:rPr>
      </w:pPr>
      <w:r>
        <w:rPr>
          <w:highlight w:val="none"/>
        </w:rPr>
        <w:drawing>
          <wp:inline distT="0" distB="0" distL="114300" distR="114300">
            <wp:extent cx="5935345" cy="2756535"/>
            <wp:effectExtent l="0" t="0" r="825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935345" cy="2756535"/>
                    </a:xfrm>
                    <a:prstGeom prst="rect">
                      <a:avLst/>
                    </a:prstGeom>
                    <a:noFill/>
                    <a:ln>
                      <a:noFill/>
                    </a:ln>
                  </pic:spPr>
                </pic:pic>
              </a:graphicData>
            </a:graphic>
          </wp:inline>
        </w:drawing>
      </w:r>
    </w:p>
    <w:p w14:paraId="43F41F6B">
      <w:pPr>
        <w:pStyle w:val="114"/>
        <w:spacing w:before="120" w:after="120"/>
        <w:rPr>
          <w:highlight w:val="none"/>
        </w:rPr>
      </w:pPr>
      <w:r>
        <w:rPr>
          <w:rFonts w:hint="eastAsia"/>
          <w:highlight w:val="none"/>
        </w:rPr>
        <w:t>省级平台技术架构图</w:t>
      </w:r>
    </w:p>
    <w:p w14:paraId="07661A53">
      <w:pPr>
        <w:pStyle w:val="65"/>
        <w:spacing w:before="120" w:after="120"/>
        <w:rPr>
          <w:highlight w:val="none"/>
        </w:rPr>
      </w:pPr>
      <w:r>
        <w:rPr>
          <w:rFonts w:hint="eastAsia"/>
          <w:highlight w:val="none"/>
        </w:rPr>
        <w:t>全国平台</w:t>
      </w:r>
    </w:p>
    <w:p w14:paraId="730C9C72">
      <w:pPr>
        <w:pStyle w:val="56"/>
        <w:ind w:firstLine="420"/>
        <w:rPr>
          <w:highlight w:val="none"/>
        </w:rPr>
      </w:pPr>
      <w:r>
        <w:rPr>
          <w:rFonts w:hint="eastAsia"/>
          <w:highlight w:val="none"/>
        </w:rPr>
        <w:t>全国平台宜应用大数据、人工智能等技术，研发农资仓储动态管理模型，搭建应急调度指挥平台，归集省级平台数据，实现数据成果与管理部门互通共享。全国平台技术架构重点分成基础设施体系（IaaS）、云架构支撑体系（PaaS）、数据资源服务体系（DaaS）、应用服务体系（SaaS），配套建设宜统一平台运维、统一安全防护、统一管理保障及统一标准规范。</w:t>
      </w:r>
      <w:bookmarkStart w:id="89" w:name="_Hlk214890087"/>
      <w:r>
        <w:rPr>
          <w:rFonts w:hint="eastAsia"/>
          <w:highlight w:val="none"/>
        </w:rPr>
        <w:t>全国平台技术架构按图3。</w:t>
      </w:r>
      <w:bookmarkEnd w:id="89"/>
    </w:p>
    <w:p w14:paraId="45DAA764">
      <w:pPr>
        <w:pStyle w:val="56"/>
        <w:ind w:firstLine="422"/>
        <w:rPr>
          <w:b/>
          <w:bCs/>
          <w:highlight w:val="none"/>
        </w:rPr>
      </w:pPr>
      <w:r>
        <w:rPr>
          <w:rFonts w:hint="eastAsia"/>
          <w:b/>
          <w:bCs/>
          <w:highlight w:val="none"/>
        </w:rPr>
        <w:drawing>
          <wp:inline distT="0" distB="0" distL="114300" distR="114300">
            <wp:extent cx="5586095" cy="4215765"/>
            <wp:effectExtent l="0" t="0" r="14605" b="13335"/>
            <wp:docPr id="3" name="图片 3" descr="cfe7bddf2bb3fa0eb2460a1bd63c14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fe7bddf2bb3fa0eb2460a1bd63c14f7"/>
                    <pic:cNvPicPr>
                      <a:picLocks noChangeAspect="1"/>
                    </pic:cNvPicPr>
                  </pic:nvPicPr>
                  <pic:blipFill>
                    <a:blip r:embed="rId17"/>
                    <a:stretch>
                      <a:fillRect/>
                    </a:stretch>
                  </pic:blipFill>
                  <pic:spPr>
                    <a:xfrm>
                      <a:off x="0" y="0"/>
                      <a:ext cx="5586095" cy="4215765"/>
                    </a:xfrm>
                    <a:prstGeom prst="rect">
                      <a:avLst/>
                    </a:prstGeom>
                  </pic:spPr>
                </pic:pic>
              </a:graphicData>
            </a:graphic>
          </wp:inline>
        </w:drawing>
      </w:r>
    </w:p>
    <w:p w14:paraId="70548968">
      <w:pPr>
        <w:pStyle w:val="114"/>
        <w:spacing w:before="120" w:after="120"/>
        <w:rPr>
          <w:highlight w:val="none"/>
        </w:rPr>
      </w:pPr>
      <w:r>
        <w:rPr>
          <w:rFonts w:hint="eastAsia"/>
          <w:highlight w:val="none"/>
        </w:rPr>
        <w:t>全国平台技术架构图</w:t>
      </w:r>
    </w:p>
    <w:bookmarkEnd w:id="84"/>
    <w:p w14:paraId="76285210">
      <w:pPr>
        <w:pStyle w:val="104"/>
        <w:spacing w:before="240" w:after="240"/>
        <w:ind w:left="0"/>
        <w:rPr>
          <w:highlight w:val="none"/>
        </w:rPr>
      </w:pPr>
      <w:bookmarkStart w:id="90" w:name="_Toc28034"/>
      <w:bookmarkStart w:id="91" w:name="_Toc214901867"/>
      <w:r>
        <w:rPr>
          <w:rFonts w:hint="eastAsia"/>
          <w:highlight w:val="none"/>
        </w:rPr>
        <w:t>农资仓库信息系统建设</w:t>
      </w:r>
      <w:bookmarkEnd w:id="90"/>
      <w:bookmarkEnd w:id="91"/>
    </w:p>
    <w:p w14:paraId="03E1369D">
      <w:pPr>
        <w:pStyle w:val="105"/>
        <w:spacing w:before="120" w:after="120"/>
        <w:rPr>
          <w:highlight w:val="none"/>
        </w:rPr>
      </w:pPr>
      <w:bookmarkStart w:id="92" w:name="_Toc214901868"/>
      <w:bookmarkStart w:id="93" w:name="_Toc6832"/>
      <w:bookmarkStart w:id="94" w:name="_Hlk214899654"/>
      <w:r>
        <w:rPr>
          <w:rFonts w:hint="eastAsia"/>
          <w:highlight w:val="none"/>
        </w:rPr>
        <w:t>系统功能</w:t>
      </w:r>
      <w:bookmarkEnd w:id="92"/>
      <w:bookmarkEnd w:id="93"/>
    </w:p>
    <w:bookmarkEnd w:id="94"/>
    <w:p w14:paraId="71F8CFD1">
      <w:pPr>
        <w:pStyle w:val="56"/>
        <w:ind w:firstLine="420"/>
        <w:rPr>
          <w:highlight w:val="none"/>
        </w:rPr>
      </w:pPr>
      <w:r>
        <w:rPr>
          <w:rFonts w:hint="eastAsia"/>
          <w:highlight w:val="none"/>
        </w:rPr>
        <w:t>农资仓库信息系统数据是省级平台和全国平台数据的直接来源，</w:t>
      </w:r>
      <w:bookmarkStart w:id="95" w:name="_Hlk214899765"/>
      <w:r>
        <w:rPr>
          <w:rFonts w:hint="eastAsia"/>
          <w:highlight w:val="none"/>
        </w:rPr>
        <w:t>主要包括系统管理、购销管理、安全生产、财税与统计等业务模块，应结合省级平台和全国平台的管理要求及农资仓储业务实际需求，建设系统功能。农资仓库信息系统主要功能按表1</w:t>
      </w:r>
      <w:bookmarkEnd w:id="95"/>
      <w:r>
        <w:rPr>
          <w:rFonts w:hint="eastAsia"/>
          <w:highlight w:val="none"/>
        </w:rPr>
        <w:t>。</w:t>
      </w:r>
    </w:p>
    <w:p w14:paraId="71497A43">
      <w:pPr>
        <w:pStyle w:val="112"/>
        <w:spacing w:before="120" w:after="120"/>
        <w:rPr>
          <w:highlight w:val="none"/>
        </w:rPr>
      </w:pPr>
      <w:r>
        <w:rPr>
          <w:rFonts w:hint="eastAsia"/>
          <w:highlight w:val="none"/>
        </w:rPr>
        <w:t>农资仓库信息系统功能列表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324F5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vAlign w:val="center"/>
          </w:tcPr>
          <w:p w14:paraId="2AE44790">
            <w:pPr>
              <w:pStyle w:val="178"/>
              <w:rPr>
                <w:rFonts w:hint="eastAsia" w:ascii="黑体" w:hAnsi="黑体" w:eastAsia="黑体"/>
                <w:szCs w:val="18"/>
                <w:highlight w:val="none"/>
              </w:rPr>
            </w:pPr>
            <w:r>
              <w:rPr>
                <w:rFonts w:hint="eastAsia" w:ascii="黑体" w:hAnsi="黑体" w:eastAsia="黑体"/>
                <w:szCs w:val="18"/>
                <w:highlight w:val="none"/>
              </w:rPr>
              <w:t>业务模块</w:t>
            </w:r>
          </w:p>
        </w:tc>
        <w:tc>
          <w:tcPr>
            <w:tcW w:w="3112" w:type="dxa"/>
            <w:tcBorders>
              <w:top w:val="single" w:color="auto" w:sz="8" w:space="0"/>
              <w:bottom w:val="single" w:color="auto" w:sz="8" w:space="0"/>
            </w:tcBorders>
            <w:vAlign w:val="center"/>
          </w:tcPr>
          <w:p w14:paraId="129A3675">
            <w:pPr>
              <w:pStyle w:val="178"/>
              <w:rPr>
                <w:rFonts w:hint="eastAsia" w:ascii="黑体" w:hAnsi="黑体" w:eastAsia="黑体"/>
                <w:szCs w:val="18"/>
                <w:highlight w:val="none"/>
              </w:rPr>
            </w:pPr>
            <w:r>
              <w:rPr>
                <w:rFonts w:hint="eastAsia" w:ascii="黑体" w:hAnsi="黑体" w:eastAsia="黑体"/>
                <w:szCs w:val="18"/>
                <w:highlight w:val="none"/>
              </w:rPr>
              <w:t>业务功能</w:t>
            </w:r>
          </w:p>
        </w:tc>
        <w:tc>
          <w:tcPr>
            <w:tcW w:w="3112" w:type="dxa"/>
            <w:tcBorders>
              <w:top w:val="single" w:color="auto" w:sz="8" w:space="0"/>
              <w:bottom w:val="single" w:color="auto" w:sz="8" w:space="0"/>
            </w:tcBorders>
            <w:vAlign w:val="center"/>
          </w:tcPr>
          <w:p w14:paraId="4127E37F">
            <w:pPr>
              <w:pStyle w:val="178"/>
              <w:rPr>
                <w:rFonts w:hint="eastAsia" w:ascii="黑体" w:hAnsi="黑体" w:eastAsia="黑体"/>
                <w:szCs w:val="18"/>
                <w:highlight w:val="none"/>
              </w:rPr>
            </w:pPr>
            <w:r>
              <w:rPr>
                <w:rFonts w:hint="eastAsia" w:ascii="黑体" w:hAnsi="黑体" w:eastAsia="黑体"/>
                <w:szCs w:val="18"/>
                <w:highlight w:val="none"/>
              </w:rPr>
              <w:t>功能点</w:t>
            </w:r>
          </w:p>
        </w:tc>
      </w:tr>
      <w:tr w14:paraId="41AA4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restart"/>
            <w:tcBorders>
              <w:top w:val="single" w:color="auto" w:sz="8" w:space="0"/>
            </w:tcBorders>
            <w:vAlign w:val="center"/>
          </w:tcPr>
          <w:p w14:paraId="28408A10">
            <w:pPr>
              <w:pStyle w:val="178"/>
              <w:rPr>
                <w:rFonts w:hint="eastAsia" w:hAnsi="宋体"/>
                <w:szCs w:val="18"/>
                <w:highlight w:val="none"/>
              </w:rPr>
            </w:pPr>
            <w:r>
              <w:rPr>
                <w:rFonts w:hint="eastAsia" w:hAnsi="宋体" w:cs="宋体"/>
                <w:szCs w:val="18"/>
                <w:highlight w:val="none"/>
              </w:rPr>
              <w:t>系统管理</w:t>
            </w:r>
          </w:p>
        </w:tc>
        <w:tc>
          <w:tcPr>
            <w:tcW w:w="3112" w:type="dxa"/>
            <w:vMerge w:val="restart"/>
            <w:tcBorders>
              <w:top w:val="single" w:color="auto" w:sz="8" w:space="0"/>
            </w:tcBorders>
            <w:vAlign w:val="center"/>
          </w:tcPr>
          <w:p w14:paraId="4EFD5F41">
            <w:pPr>
              <w:pStyle w:val="178"/>
              <w:rPr>
                <w:rFonts w:hint="eastAsia" w:hAnsi="宋体"/>
                <w:szCs w:val="18"/>
                <w:highlight w:val="none"/>
              </w:rPr>
            </w:pPr>
            <w:r>
              <w:rPr>
                <w:rFonts w:hint="eastAsia" w:hAnsi="宋体" w:cs="宋体"/>
                <w:szCs w:val="18"/>
                <w:highlight w:val="none"/>
              </w:rPr>
              <w:t>基础信息</w:t>
            </w:r>
          </w:p>
        </w:tc>
        <w:tc>
          <w:tcPr>
            <w:tcW w:w="3112" w:type="dxa"/>
            <w:tcBorders>
              <w:top w:val="single" w:color="auto" w:sz="8" w:space="0"/>
            </w:tcBorders>
            <w:vAlign w:val="center"/>
          </w:tcPr>
          <w:p w14:paraId="693C197A">
            <w:pPr>
              <w:pStyle w:val="178"/>
              <w:rPr>
                <w:rFonts w:hint="eastAsia" w:hAnsi="宋体"/>
                <w:szCs w:val="18"/>
                <w:highlight w:val="none"/>
              </w:rPr>
            </w:pPr>
            <w:r>
              <w:rPr>
                <w:rFonts w:hint="eastAsia" w:hAnsi="宋体" w:cs="宋体"/>
                <w:szCs w:val="18"/>
                <w:highlight w:val="none"/>
              </w:rPr>
              <w:t>企业信息</w:t>
            </w:r>
          </w:p>
        </w:tc>
      </w:tr>
      <w:tr w14:paraId="2F143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3C859560">
            <w:pPr>
              <w:pStyle w:val="178"/>
              <w:rPr>
                <w:rFonts w:hint="eastAsia" w:hAnsi="宋体"/>
                <w:szCs w:val="18"/>
                <w:highlight w:val="none"/>
              </w:rPr>
            </w:pPr>
          </w:p>
        </w:tc>
        <w:tc>
          <w:tcPr>
            <w:tcW w:w="3112" w:type="dxa"/>
            <w:vMerge w:val="continue"/>
            <w:vAlign w:val="center"/>
          </w:tcPr>
          <w:p w14:paraId="6BC04D3A">
            <w:pPr>
              <w:pStyle w:val="178"/>
              <w:rPr>
                <w:rFonts w:hint="eastAsia" w:hAnsi="宋体"/>
                <w:szCs w:val="18"/>
                <w:highlight w:val="none"/>
              </w:rPr>
            </w:pPr>
          </w:p>
        </w:tc>
        <w:tc>
          <w:tcPr>
            <w:tcW w:w="3112" w:type="dxa"/>
            <w:vAlign w:val="center"/>
          </w:tcPr>
          <w:p w14:paraId="4B5FA39B">
            <w:pPr>
              <w:pStyle w:val="178"/>
              <w:rPr>
                <w:rFonts w:hint="eastAsia" w:hAnsi="宋体"/>
                <w:szCs w:val="18"/>
                <w:highlight w:val="none"/>
              </w:rPr>
            </w:pPr>
            <w:r>
              <w:rPr>
                <w:rFonts w:hint="eastAsia" w:hAnsi="宋体" w:cs="宋体"/>
                <w:szCs w:val="18"/>
                <w:highlight w:val="none"/>
              </w:rPr>
              <w:t>库点信息</w:t>
            </w:r>
          </w:p>
        </w:tc>
      </w:tr>
      <w:tr w14:paraId="49406B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366BDB4F">
            <w:pPr>
              <w:pStyle w:val="178"/>
              <w:rPr>
                <w:rFonts w:hint="eastAsia" w:hAnsi="宋体"/>
                <w:szCs w:val="18"/>
                <w:highlight w:val="none"/>
              </w:rPr>
            </w:pPr>
          </w:p>
        </w:tc>
        <w:tc>
          <w:tcPr>
            <w:tcW w:w="3112" w:type="dxa"/>
            <w:vMerge w:val="continue"/>
            <w:vAlign w:val="center"/>
          </w:tcPr>
          <w:p w14:paraId="62C930B3">
            <w:pPr>
              <w:pStyle w:val="178"/>
              <w:rPr>
                <w:rFonts w:hint="eastAsia" w:hAnsi="宋体"/>
                <w:szCs w:val="18"/>
                <w:highlight w:val="none"/>
              </w:rPr>
            </w:pPr>
          </w:p>
        </w:tc>
        <w:tc>
          <w:tcPr>
            <w:tcW w:w="3112" w:type="dxa"/>
            <w:vAlign w:val="center"/>
          </w:tcPr>
          <w:p w14:paraId="5B5E3C69">
            <w:pPr>
              <w:pStyle w:val="178"/>
              <w:rPr>
                <w:rFonts w:hint="eastAsia" w:hAnsi="宋体"/>
                <w:szCs w:val="18"/>
                <w:highlight w:val="none"/>
              </w:rPr>
            </w:pPr>
            <w:r>
              <w:rPr>
                <w:rFonts w:hint="eastAsia" w:hAnsi="宋体" w:cs="宋体"/>
                <w:szCs w:val="18"/>
                <w:highlight w:val="none"/>
              </w:rPr>
              <w:t>仓房管理</w:t>
            </w:r>
          </w:p>
        </w:tc>
      </w:tr>
      <w:tr w14:paraId="1DBFB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47774126">
            <w:pPr>
              <w:pStyle w:val="178"/>
              <w:rPr>
                <w:rFonts w:hint="eastAsia" w:hAnsi="宋体"/>
                <w:szCs w:val="18"/>
                <w:highlight w:val="none"/>
              </w:rPr>
            </w:pPr>
          </w:p>
        </w:tc>
        <w:tc>
          <w:tcPr>
            <w:tcW w:w="3112" w:type="dxa"/>
            <w:vMerge w:val="continue"/>
            <w:vAlign w:val="center"/>
          </w:tcPr>
          <w:p w14:paraId="450B214D">
            <w:pPr>
              <w:pStyle w:val="178"/>
              <w:rPr>
                <w:rFonts w:hint="eastAsia" w:hAnsi="宋体"/>
                <w:szCs w:val="18"/>
                <w:highlight w:val="none"/>
              </w:rPr>
            </w:pPr>
          </w:p>
        </w:tc>
        <w:tc>
          <w:tcPr>
            <w:tcW w:w="3112" w:type="dxa"/>
            <w:vAlign w:val="center"/>
          </w:tcPr>
          <w:p w14:paraId="57096049">
            <w:pPr>
              <w:pStyle w:val="178"/>
              <w:rPr>
                <w:rFonts w:hint="eastAsia" w:hAnsi="宋体"/>
                <w:szCs w:val="18"/>
                <w:highlight w:val="none"/>
              </w:rPr>
            </w:pPr>
            <w:r>
              <w:rPr>
                <w:rFonts w:hint="eastAsia" w:hAnsi="宋体" w:cs="宋体"/>
                <w:szCs w:val="18"/>
                <w:highlight w:val="none"/>
              </w:rPr>
              <w:t>货位管理</w:t>
            </w:r>
          </w:p>
        </w:tc>
      </w:tr>
      <w:tr w14:paraId="76B78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restart"/>
            <w:vAlign w:val="center"/>
          </w:tcPr>
          <w:p w14:paraId="5FEE3AF3">
            <w:pPr>
              <w:pStyle w:val="178"/>
              <w:rPr>
                <w:rFonts w:hint="eastAsia" w:hAnsi="宋体"/>
                <w:szCs w:val="18"/>
                <w:highlight w:val="none"/>
              </w:rPr>
            </w:pPr>
            <w:r>
              <w:rPr>
                <w:rFonts w:hint="eastAsia"/>
                <w:highlight w:val="none"/>
              </w:rPr>
              <w:t>购销</w:t>
            </w:r>
            <w:r>
              <w:rPr>
                <w:rFonts w:hint="eastAsia" w:hAnsi="宋体" w:cs="宋体"/>
                <w:szCs w:val="18"/>
                <w:highlight w:val="none"/>
              </w:rPr>
              <w:t>管理</w:t>
            </w:r>
          </w:p>
        </w:tc>
        <w:tc>
          <w:tcPr>
            <w:tcW w:w="3112" w:type="dxa"/>
            <w:vMerge w:val="restart"/>
            <w:vAlign w:val="center"/>
          </w:tcPr>
          <w:p w14:paraId="51586E3E">
            <w:pPr>
              <w:pStyle w:val="178"/>
              <w:rPr>
                <w:rFonts w:hint="eastAsia" w:hAnsi="宋体"/>
                <w:szCs w:val="18"/>
                <w:highlight w:val="none"/>
              </w:rPr>
            </w:pPr>
            <w:r>
              <w:rPr>
                <w:rFonts w:hint="eastAsia" w:hAnsi="宋体" w:cs="宋体"/>
                <w:szCs w:val="18"/>
                <w:highlight w:val="none"/>
              </w:rPr>
              <w:t>计划管理</w:t>
            </w:r>
          </w:p>
        </w:tc>
        <w:tc>
          <w:tcPr>
            <w:tcW w:w="3112" w:type="dxa"/>
            <w:vAlign w:val="center"/>
          </w:tcPr>
          <w:p w14:paraId="488A24ED">
            <w:pPr>
              <w:pStyle w:val="178"/>
              <w:rPr>
                <w:rFonts w:hint="eastAsia" w:hAnsi="宋体"/>
                <w:szCs w:val="18"/>
                <w:highlight w:val="none"/>
              </w:rPr>
            </w:pPr>
            <w:r>
              <w:rPr>
                <w:rFonts w:hint="eastAsia"/>
                <w:highlight w:val="none"/>
              </w:rPr>
              <w:t>购销</w:t>
            </w:r>
            <w:r>
              <w:rPr>
                <w:rFonts w:hint="eastAsia" w:hAnsi="宋体" w:cs="宋体"/>
                <w:szCs w:val="18"/>
                <w:highlight w:val="none"/>
              </w:rPr>
              <w:t>计划</w:t>
            </w:r>
          </w:p>
        </w:tc>
      </w:tr>
      <w:tr w14:paraId="35AB3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78E53B79">
            <w:pPr>
              <w:pStyle w:val="178"/>
              <w:rPr>
                <w:rFonts w:hint="eastAsia" w:hAnsi="宋体"/>
                <w:szCs w:val="18"/>
                <w:highlight w:val="none"/>
              </w:rPr>
            </w:pPr>
          </w:p>
        </w:tc>
        <w:tc>
          <w:tcPr>
            <w:tcW w:w="3112" w:type="dxa"/>
            <w:vMerge w:val="continue"/>
            <w:vAlign w:val="center"/>
          </w:tcPr>
          <w:p w14:paraId="0D279429">
            <w:pPr>
              <w:pStyle w:val="178"/>
              <w:rPr>
                <w:rFonts w:hint="eastAsia" w:hAnsi="宋体"/>
                <w:szCs w:val="18"/>
                <w:highlight w:val="none"/>
              </w:rPr>
            </w:pPr>
          </w:p>
        </w:tc>
        <w:tc>
          <w:tcPr>
            <w:tcW w:w="3112" w:type="dxa"/>
            <w:vAlign w:val="center"/>
          </w:tcPr>
          <w:p w14:paraId="426B9E78">
            <w:pPr>
              <w:pStyle w:val="178"/>
              <w:rPr>
                <w:rFonts w:hint="eastAsia" w:hAnsi="宋体"/>
                <w:szCs w:val="18"/>
                <w:highlight w:val="none"/>
              </w:rPr>
            </w:pPr>
            <w:r>
              <w:rPr>
                <w:rFonts w:hint="eastAsia" w:hAnsi="宋体" w:cs="宋体"/>
                <w:szCs w:val="18"/>
                <w:highlight w:val="none"/>
              </w:rPr>
              <w:t>计划执行</w:t>
            </w:r>
          </w:p>
        </w:tc>
      </w:tr>
      <w:tr w14:paraId="3492C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04590B68">
            <w:pPr>
              <w:pStyle w:val="178"/>
              <w:rPr>
                <w:rFonts w:hint="eastAsia" w:hAnsi="宋体"/>
                <w:szCs w:val="18"/>
                <w:highlight w:val="none"/>
              </w:rPr>
            </w:pPr>
          </w:p>
        </w:tc>
        <w:tc>
          <w:tcPr>
            <w:tcW w:w="3112" w:type="dxa"/>
            <w:vAlign w:val="center"/>
          </w:tcPr>
          <w:p w14:paraId="67174722">
            <w:pPr>
              <w:pStyle w:val="178"/>
              <w:rPr>
                <w:rFonts w:hint="eastAsia" w:hAnsi="宋体" w:cs="宋体"/>
                <w:szCs w:val="18"/>
                <w:highlight w:val="none"/>
              </w:rPr>
            </w:pPr>
            <w:r>
              <w:rPr>
                <w:rFonts w:hint="eastAsia" w:hAnsi="宋体" w:cs="宋体"/>
                <w:szCs w:val="18"/>
                <w:highlight w:val="none"/>
              </w:rPr>
              <w:t>合同管理</w:t>
            </w:r>
          </w:p>
        </w:tc>
        <w:tc>
          <w:tcPr>
            <w:tcW w:w="3112" w:type="dxa"/>
            <w:vAlign w:val="center"/>
          </w:tcPr>
          <w:p w14:paraId="0310BF98">
            <w:pPr>
              <w:pStyle w:val="178"/>
              <w:rPr>
                <w:rFonts w:hint="eastAsia" w:hAnsi="宋体"/>
                <w:szCs w:val="18"/>
                <w:highlight w:val="none"/>
              </w:rPr>
            </w:pPr>
            <w:r>
              <w:rPr>
                <w:rFonts w:hint="eastAsia" w:hAnsi="宋体" w:cs="宋体"/>
                <w:szCs w:val="18"/>
                <w:highlight w:val="none"/>
              </w:rPr>
              <w:t>合同管理</w:t>
            </w:r>
          </w:p>
        </w:tc>
      </w:tr>
      <w:tr w14:paraId="2E04E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7F0281D9">
            <w:pPr>
              <w:pStyle w:val="178"/>
              <w:rPr>
                <w:rFonts w:hint="eastAsia" w:hAnsi="宋体"/>
                <w:szCs w:val="18"/>
                <w:highlight w:val="none"/>
              </w:rPr>
            </w:pPr>
          </w:p>
        </w:tc>
        <w:tc>
          <w:tcPr>
            <w:tcW w:w="3112" w:type="dxa"/>
            <w:vMerge w:val="restart"/>
            <w:vAlign w:val="center"/>
          </w:tcPr>
          <w:p w14:paraId="0B4ADEE3">
            <w:pPr>
              <w:pStyle w:val="178"/>
              <w:rPr>
                <w:rFonts w:hint="eastAsia" w:hAnsi="宋体" w:cs="宋体"/>
                <w:szCs w:val="18"/>
                <w:highlight w:val="none"/>
              </w:rPr>
            </w:pPr>
            <w:r>
              <w:rPr>
                <w:rFonts w:hint="eastAsia" w:hAnsi="宋体" w:cs="宋体"/>
                <w:szCs w:val="18"/>
                <w:highlight w:val="none"/>
              </w:rPr>
              <w:t>出入库信息管理</w:t>
            </w:r>
          </w:p>
        </w:tc>
        <w:tc>
          <w:tcPr>
            <w:tcW w:w="3112" w:type="dxa"/>
            <w:vAlign w:val="center"/>
          </w:tcPr>
          <w:p w14:paraId="525550AD">
            <w:pPr>
              <w:pStyle w:val="178"/>
              <w:rPr>
                <w:rFonts w:hint="eastAsia" w:hAnsi="宋体"/>
                <w:szCs w:val="18"/>
                <w:highlight w:val="none"/>
              </w:rPr>
            </w:pPr>
            <w:r>
              <w:rPr>
                <w:rFonts w:hint="eastAsia" w:hAnsi="宋体" w:cs="宋体"/>
                <w:szCs w:val="18"/>
                <w:highlight w:val="none"/>
              </w:rPr>
              <w:t>入库管理</w:t>
            </w:r>
          </w:p>
        </w:tc>
      </w:tr>
      <w:tr w14:paraId="437AA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0E560574">
            <w:pPr>
              <w:pStyle w:val="178"/>
              <w:rPr>
                <w:rFonts w:hint="eastAsia" w:hAnsi="宋体"/>
                <w:szCs w:val="18"/>
                <w:highlight w:val="none"/>
              </w:rPr>
            </w:pPr>
          </w:p>
        </w:tc>
        <w:tc>
          <w:tcPr>
            <w:tcW w:w="3112" w:type="dxa"/>
            <w:vMerge w:val="continue"/>
            <w:vAlign w:val="center"/>
          </w:tcPr>
          <w:p w14:paraId="151BE56C">
            <w:pPr>
              <w:pStyle w:val="178"/>
              <w:rPr>
                <w:rFonts w:hint="eastAsia" w:hAnsi="宋体" w:cs="宋体"/>
                <w:szCs w:val="18"/>
                <w:highlight w:val="none"/>
              </w:rPr>
            </w:pPr>
          </w:p>
        </w:tc>
        <w:tc>
          <w:tcPr>
            <w:tcW w:w="3112" w:type="dxa"/>
            <w:vAlign w:val="center"/>
          </w:tcPr>
          <w:p w14:paraId="6A3D0F23">
            <w:pPr>
              <w:pStyle w:val="178"/>
              <w:rPr>
                <w:rFonts w:hint="eastAsia" w:hAnsi="宋体"/>
                <w:szCs w:val="18"/>
                <w:highlight w:val="none"/>
              </w:rPr>
            </w:pPr>
            <w:r>
              <w:rPr>
                <w:rFonts w:hint="eastAsia" w:hAnsi="宋体" w:cs="宋体"/>
                <w:szCs w:val="18"/>
                <w:highlight w:val="none"/>
              </w:rPr>
              <w:t>出库管理</w:t>
            </w:r>
          </w:p>
        </w:tc>
      </w:tr>
      <w:tr w14:paraId="6DB6E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53592971">
            <w:pPr>
              <w:pStyle w:val="178"/>
              <w:rPr>
                <w:rFonts w:hint="eastAsia" w:hAnsi="宋体"/>
                <w:szCs w:val="18"/>
                <w:highlight w:val="none"/>
              </w:rPr>
            </w:pPr>
          </w:p>
        </w:tc>
        <w:tc>
          <w:tcPr>
            <w:tcW w:w="3112" w:type="dxa"/>
            <w:vMerge w:val="continue"/>
            <w:vAlign w:val="center"/>
          </w:tcPr>
          <w:p w14:paraId="1E97B1CA">
            <w:pPr>
              <w:pStyle w:val="178"/>
              <w:rPr>
                <w:rFonts w:hint="eastAsia" w:hAnsi="宋体" w:cs="宋体"/>
                <w:szCs w:val="18"/>
                <w:highlight w:val="none"/>
              </w:rPr>
            </w:pPr>
          </w:p>
        </w:tc>
        <w:tc>
          <w:tcPr>
            <w:tcW w:w="3112" w:type="dxa"/>
            <w:vAlign w:val="center"/>
          </w:tcPr>
          <w:p w14:paraId="3C8C4EC7">
            <w:pPr>
              <w:pStyle w:val="178"/>
              <w:rPr>
                <w:rFonts w:hint="eastAsia" w:hAnsi="宋体"/>
                <w:szCs w:val="18"/>
                <w:highlight w:val="none"/>
              </w:rPr>
            </w:pPr>
            <w:r>
              <w:rPr>
                <w:rFonts w:hint="eastAsia" w:hAnsi="宋体" w:cs="宋体"/>
                <w:szCs w:val="18"/>
                <w:highlight w:val="none"/>
              </w:rPr>
              <w:t>移仓管理</w:t>
            </w:r>
          </w:p>
        </w:tc>
      </w:tr>
      <w:tr w14:paraId="6D974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1D6A0B99">
            <w:pPr>
              <w:pStyle w:val="178"/>
              <w:rPr>
                <w:rFonts w:hint="eastAsia" w:hAnsi="宋体"/>
                <w:szCs w:val="18"/>
                <w:highlight w:val="none"/>
              </w:rPr>
            </w:pPr>
          </w:p>
        </w:tc>
        <w:tc>
          <w:tcPr>
            <w:tcW w:w="3112" w:type="dxa"/>
            <w:vAlign w:val="center"/>
          </w:tcPr>
          <w:p w14:paraId="084BC108">
            <w:pPr>
              <w:pStyle w:val="178"/>
              <w:rPr>
                <w:rFonts w:hint="eastAsia" w:hAnsi="宋体" w:cs="宋体"/>
                <w:szCs w:val="18"/>
                <w:highlight w:val="none"/>
              </w:rPr>
            </w:pPr>
            <w:r>
              <w:rPr>
                <w:rFonts w:hint="eastAsia" w:hAnsi="宋体" w:cs="宋体"/>
                <w:szCs w:val="18"/>
                <w:highlight w:val="none"/>
              </w:rPr>
              <w:t>数量监测</w:t>
            </w:r>
          </w:p>
        </w:tc>
        <w:tc>
          <w:tcPr>
            <w:tcW w:w="3112" w:type="dxa"/>
            <w:vAlign w:val="center"/>
          </w:tcPr>
          <w:p w14:paraId="5D38F837">
            <w:pPr>
              <w:pStyle w:val="178"/>
              <w:rPr>
                <w:rFonts w:hint="eastAsia" w:hAnsi="宋体"/>
                <w:szCs w:val="18"/>
                <w:highlight w:val="none"/>
              </w:rPr>
            </w:pPr>
            <w:r>
              <w:rPr>
                <w:rFonts w:hint="eastAsia" w:hAnsi="宋体" w:cs="宋体"/>
                <w:szCs w:val="18"/>
                <w:highlight w:val="none"/>
              </w:rPr>
              <w:t>数据盘点</w:t>
            </w:r>
          </w:p>
        </w:tc>
      </w:tr>
      <w:tr w14:paraId="14B71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restart"/>
            <w:vAlign w:val="center"/>
          </w:tcPr>
          <w:p w14:paraId="6039ED1C">
            <w:pPr>
              <w:pStyle w:val="178"/>
              <w:rPr>
                <w:rFonts w:hint="eastAsia" w:hAnsi="宋体"/>
                <w:szCs w:val="18"/>
                <w:highlight w:val="none"/>
              </w:rPr>
            </w:pPr>
            <w:r>
              <w:rPr>
                <w:rFonts w:hint="eastAsia" w:hAnsi="宋体" w:cs="宋体"/>
                <w:szCs w:val="18"/>
                <w:highlight w:val="none"/>
              </w:rPr>
              <w:t>安全生产</w:t>
            </w:r>
          </w:p>
        </w:tc>
        <w:tc>
          <w:tcPr>
            <w:tcW w:w="3112" w:type="dxa"/>
            <w:vMerge w:val="restart"/>
            <w:vAlign w:val="center"/>
          </w:tcPr>
          <w:p w14:paraId="294A2E4E">
            <w:pPr>
              <w:pStyle w:val="178"/>
              <w:rPr>
                <w:rFonts w:hint="eastAsia" w:hAnsi="宋体"/>
                <w:szCs w:val="18"/>
                <w:highlight w:val="none"/>
              </w:rPr>
            </w:pPr>
            <w:r>
              <w:rPr>
                <w:rFonts w:hint="eastAsia" w:hAnsi="宋体" w:cs="宋体"/>
                <w:szCs w:val="18"/>
                <w:highlight w:val="none"/>
              </w:rPr>
              <w:t>视频监控</w:t>
            </w:r>
          </w:p>
        </w:tc>
        <w:tc>
          <w:tcPr>
            <w:tcW w:w="3112" w:type="dxa"/>
            <w:vAlign w:val="center"/>
          </w:tcPr>
          <w:p w14:paraId="1DDF25BA">
            <w:pPr>
              <w:pStyle w:val="178"/>
              <w:rPr>
                <w:rFonts w:hint="eastAsia" w:hAnsi="宋体"/>
                <w:szCs w:val="18"/>
                <w:highlight w:val="none"/>
              </w:rPr>
            </w:pPr>
            <w:r>
              <w:rPr>
                <w:rFonts w:hint="eastAsia" w:hAnsi="宋体" w:cs="宋体"/>
                <w:szCs w:val="18"/>
                <w:highlight w:val="none"/>
              </w:rPr>
              <w:t>库区监控</w:t>
            </w:r>
          </w:p>
        </w:tc>
      </w:tr>
      <w:tr w14:paraId="2EBF2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4FFA25CD">
            <w:pPr>
              <w:pStyle w:val="178"/>
              <w:rPr>
                <w:rFonts w:hint="eastAsia" w:hAnsi="宋体"/>
                <w:szCs w:val="18"/>
                <w:highlight w:val="none"/>
              </w:rPr>
            </w:pPr>
          </w:p>
        </w:tc>
        <w:tc>
          <w:tcPr>
            <w:tcW w:w="3112" w:type="dxa"/>
            <w:vMerge w:val="continue"/>
            <w:vAlign w:val="center"/>
          </w:tcPr>
          <w:p w14:paraId="4A890CE7">
            <w:pPr>
              <w:pStyle w:val="178"/>
              <w:rPr>
                <w:rFonts w:hint="eastAsia" w:hAnsi="宋体"/>
                <w:szCs w:val="18"/>
                <w:highlight w:val="none"/>
              </w:rPr>
            </w:pPr>
          </w:p>
        </w:tc>
        <w:tc>
          <w:tcPr>
            <w:tcW w:w="3112" w:type="dxa"/>
            <w:vAlign w:val="center"/>
          </w:tcPr>
          <w:p w14:paraId="06C0D52F">
            <w:pPr>
              <w:pStyle w:val="178"/>
              <w:rPr>
                <w:rFonts w:hint="eastAsia" w:hAnsi="宋体"/>
                <w:szCs w:val="18"/>
                <w:highlight w:val="none"/>
              </w:rPr>
            </w:pPr>
            <w:r>
              <w:rPr>
                <w:rFonts w:hint="eastAsia" w:hAnsi="宋体" w:cs="宋体"/>
                <w:szCs w:val="18"/>
                <w:highlight w:val="none"/>
              </w:rPr>
              <w:t>仓房监控</w:t>
            </w:r>
          </w:p>
        </w:tc>
      </w:tr>
      <w:tr w14:paraId="48D84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7688E61D">
            <w:pPr>
              <w:pStyle w:val="178"/>
              <w:rPr>
                <w:rFonts w:hint="eastAsia" w:hAnsi="宋体"/>
                <w:szCs w:val="18"/>
                <w:highlight w:val="none"/>
              </w:rPr>
            </w:pPr>
          </w:p>
        </w:tc>
        <w:tc>
          <w:tcPr>
            <w:tcW w:w="3112" w:type="dxa"/>
            <w:vMerge w:val="continue"/>
            <w:vAlign w:val="center"/>
          </w:tcPr>
          <w:p w14:paraId="7CF0E23D">
            <w:pPr>
              <w:pStyle w:val="178"/>
              <w:rPr>
                <w:rFonts w:hint="eastAsia" w:hAnsi="宋体"/>
                <w:szCs w:val="18"/>
                <w:highlight w:val="none"/>
              </w:rPr>
            </w:pPr>
          </w:p>
        </w:tc>
        <w:tc>
          <w:tcPr>
            <w:tcW w:w="3112" w:type="dxa"/>
            <w:vAlign w:val="center"/>
          </w:tcPr>
          <w:p w14:paraId="40243A2B">
            <w:pPr>
              <w:pStyle w:val="178"/>
              <w:rPr>
                <w:rFonts w:hint="eastAsia" w:hAnsi="宋体"/>
                <w:szCs w:val="18"/>
                <w:highlight w:val="none"/>
              </w:rPr>
            </w:pPr>
            <w:r>
              <w:rPr>
                <w:rFonts w:hint="eastAsia" w:hAnsi="宋体" w:cs="宋体"/>
                <w:szCs w:val="18"/>
                <w:highlight w:val="none"/>
              </w:rPr>
              <w:t>智能分析</w:t>
            </w:r>
          </w:p>
        </w:tc>
      </w:tr>
      <w:tr w14:paraId="0D2E3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restart"/>
            <w:vAlign w:val="center"/>
          </w:tcPr>
          <w:p w14:paraId="2D52E2E3">
            <w:pPr>
              <w:pStyle w:val="178"/>
              <w:rPr>
                <w:rFonts w:hint="eastAsia" w:hAnsi="宋体"/>
                <w:szCs w:val="18"/>
                <w:highlight w:val="none"/>
              </w:rPr>
            </w:pPr>
            <w:bookmarkStart w:id="96" w:name="_Hlk214891716"/>
            <w:r>
              <w:rPr>
                <w:rFonts w:hint="eastAsia" w:hAnsi="宋体" w:cs="宋体"/>
                <w:szCs w:val="18"/>
                <w:highlight w:val="none"/>
              </w:rPr>
              <w:t>财税与统计</w:t>
            </w:r>
            <w:bookmarkEnd w:id="96"/>
          </w:p>
        </w:tc>
        <w:tc>
          <w:tcPr>
            <w:tcW w:w="3112" w:type="dxa"/>
            <w:vMerge w:val="restart"/>
            <w:vAlign w:val="center"/>
          </w:tcPr>
          <w:p w14:paraId="5FD6F9F3">
            <w:pPr>
              <w:pStyle w:val="178"/>
              <w:rPr>
                <w:rFonts w:hint="eastAsia" w:hAnsi="宋体"/>
                <w:szCs w:val="18"/>
                <w:highlight w:val="none"/>
              </w:rPr>
            </w:pPr>
            <w:r>
              <w:rPr>
                <w:rFonts w:hint="eastAsia" w:hAnsi="宋体" w:cs="宋体"/>
                <w:szCs w:val="18"/>
                <w:highlight w:val="none"/>
              </w:rPr>
              <w:t>保管账</w:t>
            </w:r>
          </w:p>
        </w:tc>
        <w:tc>
          <w:tcPr>
            <w:tcW w:w="3112" w:type="dxa"/>
            <w:vAlign w:val="center"/>
          </w:tcPr>
          <w:p w14:paraId="553FD729">
            <w:pPr>
              <w:pStyle w:val="178"/>
              <w:rPr>
                <w:rFonts w:hint="eastAsia" w:hAnsi="宋体"/>
                <w:szCs w:val="18"/>
                <w:highlight w:val="none"/>
              </w:rPr>
            </w:pPr>
            <w:r>
              <w:rPr>
                <w:rFonts w:hint="eastAsia" w:hAnsi="宋体" w:cs="宋体"/>
                <w:szCs w:val="18"/>
                <w:highlight w:val="none"/>
              </w:rPr>
              <w:t>货位卡</w:t>
            </w:r>
          </w:p>
        </w:tc>
      </w:tr>
      <w:tr w14:paraId="6DDF2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4035E996">
            <w:pPr>
              <w:pStyle w:val="178"/>
              <w:rPr>
                <w:rFonts w:hint="eastAsia" w:hAnsi="宋体"/>
                <w:szCs w:val="18"/>
                <w:highlight w:val="none"/>
              </w:rPr>
            </w:pPr>
          </w:p>
        </w:tc>
        <w:tc>
          <w:tcPr>
            <w:tcW w:w="3112" w:type="dxa"/>
            <w:vMerge w:val="continue"/>
            <w:vAlign w:val="center"/>
          </w:tcPr>
          <w:p w14:paraId="6F4EEA7E">
            <w:pPr>
              <w:pStyle w:val="178"/>
              <w:rPr>
                <w:rFonts w:hint="eastAsia" w:hAnsi="宋体"/>
                <w:szCs w:val="18"/>
                <w:highlight w:val="none"/>
              </w:rPr>
            </w:pPr>
          </w:p>
        </w:tc>
        <w:tc>
          <w:tcPr>
            <w:tcW w:w="3112" w:type="dxa"/>
            <w:vAlign w:val="center"/>
          </w:tcPr>
          <w:p w14:paraId="4186DD28">
            <w:pPr>
              <w:pStyle w:val="178"/>
              <w:rPr>
                <w:rFonts w:hint="eastAsia" w:hAnsi="宋体"/>
                <w:szCs w:val="18"/>
                <w:highlight w:val="none"/>
              </w:rPr>
            </w:pPr>
            <w:r>
              <w:rPr>
                <w:rFonts w:hint="eastAsia" w:hAnsi="宋体" w:cs="宋体"/>
                <w:szCs w:val="18"/>
                <w:highlight w:val="none"/>
              </w:rPr>
              <w:t>记账凭证</w:t>
            </w:r>
          </w:p>
        </w:tc>
      </w:tr>
      <w:tr w14:paraId="24C7A6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258B7A1D">
            <w:pPr>
              <w:pStyle w:val="178"/>
              <w:rPr>
                <w:rFonts w:hint="eastAsia" w:hAnsi="宋体"/>
                <w:szCs w:val="18"/>
                <w:highlight w:val="none"/>
              </w:rPr>
            </w:pPr>
          </w:p>
        </w:tc>
        <w:tc>
          <w:tcPr>
            <w:tcW w:w="3112" w:type="dxa"/>
            <w:vMerge w:val="continue"/>
            <w:vAlign w:val="center"/>
          </w:tcPr>
          <w:p w14:paraId="72D87D2E">
            <w:pPr>
              <w:pStyle w:val="178"/>
              <w:rPr>
                <w:rFonts w:hint="eastAsia" w:hAnsi="宋体"/>
                <w:szCs w:val="18"/>
                <w:highlight w:val="none"/>
              </w:rPr>
            </w:pPr>
          </w:p>
        </w:tc>
        <w:tc>
          <w:tcPr>
            <w:tcW w:w="3112" w:type="dxa"/>
            <w:vAlign w:val="center"/>
          </w:tcPr>
          <w:p w14:paraId="764734F6">
            <w:pPr>
              <w:pStyle w:val="178"/>
              <w:rPr>
                <w:rFonts w:hint="eastAsia" w:hAnsi="宋体"/>
                <w:szCs w:val="18"/>
                <w:highlight w:val="none"/>
              </w:rPr>
            </w:pPr>
            <w:r>
              <w:rPr>
                <w:rFonts w:hint="eastAsia" w:hAnsi="宋体" w:cs="宋体"/>
                <w:szCs w:val="18"/>
                <w:highlight w:val="none"/>
              </w:rPr>
              <w:t>明细账</w:t>
            </w:r>
          </w:p>
        </w:tc>
      </w:tr>
      <w:tr w14:paraId="7D2BE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1A5A7DD4">
            <w:pPr>
              <w:pStyle w:val="178"/>
              <w:rPr>
                <w:rFonts w:hint="eastAsia" w:hAnsi="宋体"/>
                <w:szCs w:val="18"/>
                <w:highlight w:val="none"/>
              </w:rPr>
            </w:pPr>
          </w:p>
        </w:tc>
        <w:tc>
          <w:tcPr>
            <w:tcW w:w="3112" w:type="dxa"/>
            <w:vMerge w:val="continue"/>
            <w:vAlign w:val="center"/>
          </w:tcPr>
          <w:p w14:paraId="1C99F14E">
            <w:pPr>
              <w:pStyle w:val="178"/>
              <w:rPr>
                <w:rFonts w:hint="eastAsia" w:hAnsi="宋体"/>
                <w:szCs w:val="18"/>
                <w:highlight w:val="none"/>
              </w:rPr>
            </w:pPr>
          </w:p>
        </w:tc>
        <w:tc>
          <w:tcPr>
            <w:tcW w:w="3112" w:type="dxa"/>
            <w:vAlign w:val="center"/>
          </w:tcPr>
          <w:p w14:paraId="58CAF528">
            <w:pPr>
              <w:pStyle w:val="178"/>
              <w:rPr>
                <w:rFonts w:hint="eastAsia" w:hAnsi="宋体"/>
                <w:szCs w:val="18"/>
                <w:highlight w:val="none"/>
              </w:rPr>
            </w:pPr>
            <w:r>
              <w:rPr>
                <w:rFonts w:hint="eastAsia" w:hAnsi="宋体" w:cs="宋体"/>
                <w:szCs w:val="18"/>
                <w:highlight w:val="none"/>
              </w:rPr>
              <w:t>保管总账</w:t>
            </w:r>
          </w:p>
        </w:tc>
      </w:tr>
      <w:tr w14:paraId="6CE73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Merge w:val="continue"/>
            <w:vAlign w:val="center"/>
          </w:tcPr>
          <w:p w14:paraId="18192DD9">
            <w:pPr>
              <w:pStyle w:val="178"/>
              <w:rPr>
                <w:rFonts w:hint="eastAsia" w:hAnsi="宋体"/>
                <w:szCs w:val="18"/>
                <w:highlight w:val="none"/>
              </w:rPr>
            </w:pPr>
          </w:p>
        </w:tc>
        <w:tc>
          <w:tcPr>
            <w:tcW w:w="3112" w:type="dxa"/>
            <w:vAlign w:val="center"/>
          </w:tcPr>
          <w:p w14:paraId="19009B80">
            <w:pPr>
              <w:pStyle w:val="178"/>
              <w:rPr>
                <w:rFonts w:hint="eastAsia" w:hAnsi="宋体"/>
                <w:szCs w:val="18"/>
                <w:highlight w:val="none"/>
              </w:rPr>
            </w:pPr>
            <w:r>
              <w:rPr>
                <w:rFonts w:hint="eastAsia" w:hAnsi="宋体" w:cs="宋体"/>
                <w:szCs w:val="18"/>
                <w:highlight w:val="none"/>
              </w:rPr>
              <w:t>财务管理</w:t>
            </w:r>
          </w:p>
        </w:tc>
        <w:tc>
          <w:tcPr>
            <w:tcW w:w="3112" w:type="dxa"/>
            <w:vAlign w:val="center"/>
          </w:tcPr>
          <w:p w14:paraId="475A43C8">
            <w:pPr>
              <w:pStyle w:val="178"/>
              <w:rPr>
                <w:rFonts w:hint="eastAsia" w:hAnsi="宋体"/>
                <w:szCs w:val="18"/>
                <w:highlight w:val="none"/>
              </w:rPr>
            </w:pPr>
            <w:r>
              <w:rPr>
                <w:rFonts w:hint="eastAsia" w:hAnsi="宋体" w:cs="宋体"/>
                <w:szCs w:val="18"/>
                <w:highlight w:val="none"/>
              </w:rPr>
              <w:t>财务管理</w:t>
            </w:r>
          </w:p>
        </w:tc>
      </w:tr>
    </w:tbl>
    <w:p w14:paraId="7D5D65B7">
      <w:pPr>
        <w:pStyle w:val="105"/>
        <w:spacing w:before="120" w:after="120"/>
        <w:rPr>
          <w:highlight w:val="none"/>
        </w:rPr>
      </w:pPr>
      <w:bookmarkStart w:id="97" w:name="_Toc214901869"/>
      <w:bookmarkStart w:id="98" w:name="_Toc26645"/>
      <w:r>
        <w:rPr>
          <w:rFonts w:hint="eastAsia"/>
          <w:highlight w:val="none"/>
        </w:rPr>
        <w:t>系统管理</w:t>
      </w:r>
      <w:bookmarkEnd w:id="97"/>
      <w:bookmarkEnd w:id="98"/>
    </w:p>
    <w:p w14:paraId="03142362">
      <w:pPr>
        <w:pStyle w:val="56"/>
        <w:ind w:firstLine="420"/>
        <w:rPr>
          <w:highlight w:val="none"/>
        </w:rPr>
      </w:pPr>
      <w:r>
        <w:rPr>
          <w:rFonts w:hint="eastAsia"/>
          <w:highlight w:val="none"/>
        </w:rPr>
        <w:t>系统管理主要是对农资仓库基础信息的管理，基础信息包括企业信息、库点信息、仓房管理和货位管理等功能点。对企业、库点、仓房和货位的基本信息的维护管理内容包括信息的增加、删除、修改、查询。同时满足对其它业务模块的数据支撑。</w:t>
      </w:r>
    </w:p>
    <w:p w14:paraId="369E0A7E">
      <w:pPr>
        <w:pStyle w:val="105"/>
        <w:spacing w:before="120" w:after="120"/>
        <w:rPr>
          <w:highlight w:val="none"/>
        </w:rPr>
      </w:pPr>
      <w:bookmarkStart w:id="99" w:name="_Toc214901870"/>
      <w:bookmarkStart w:id="100" w:name="_Toc24650"/>
      <w:r>
        <w:rPr>
          <w:rFonts w:hint="eastAsia"/>
          <w:highlight w:val="none"/>
        </w:rPr>
        <w:t>购销管理</w:t>
      </w:r>
      <w:bookmarkEnd w:id="99"/>
      <w:bookmarkEnd w:id="100"/>
    </w:p>
    <w:p w14:paraId="68055DD6">
      <w:pPr>
        <w:pStyle w:val="56"/>
        <w:ind w:firstLine="420"/>
        <w:rPr>
          <w:highlight w:val="none"/>
        </w:rPr>
      </w:pPr>
      <w:r>
        <w:rPr>
          <w:rFonts w:hint="eastAsia"/>
          <w:highlight w:val="none"/>
        </w:rPr>
        <w:t>宜包括但不限于计划管理、合同管理、出入库</w:t>
      </w:r>
      <w:r>
        <w:rPr>
          <w:rFonts w:hint="eastAsia"/>
          <w:highlight w:val="none"/>
          <w:lang w:eastAsia="zh-CN"/>
        </w:rPr>
        <w:t>信息</w:t>
      </w:r>
      <w:r>
        <w:rPr>
          <w:rFonts w:hint="eastAsia"/>
          <w:highlight w:val="none"/>
        </w:rPr>
        <w:t>管理和数量监测等功能。</w:t>
      </w:r>
    </w:p>
    <w:p w14:paraId="30EDD853">
      <w:pPr>
        <w:pStyle w:val="132"/>
        <w:rPr>
          <w:highlight w:val="none"/>
        </w:rPr>
      </w:pPr>
      <w:r>
        <w:rPr>
          <w:rFonts w:hint="eastAsia"/>
          <w:highlight w:val="none"/>
        </w:rPr>
        <w:t>计划管理。宜具有购销计划和计划执行两个功能点。其中，购销计划记录农资仓库的购销数量、品类等信息；计划执行是对农资仓库出入库情况查询开展的信息维护，应支持每批入库农资商品的详细信息查看。</w:t>
      </w:r>
    </w:p>
    <w:p w14:paraId="2F90AC1D">
      <w:pPr>
        <w:pStyle w:val="132"/>
        <w:rPr>
          <w:highlight w:val="none"/>
        </w:rPr>
      </w:pPr>
      <w:r>
        <w:rPr>
          <w:rFonts w:hint="eastAsia"/>
          <w:highlight w:val="none"/>
        </w:rPr>
        <w:t>合同管理。宜具有购销合同的录入、中止（终止）和变更等，支持合同附件管理。同时能够对农资购销合同进行信息维护，包括信息的增加、删除、修改、查询等。</w:t>
      </w:r>
    </w:p>
    <w:p w14:paraId="5C27A4B5">
      <w:pPr>
        <w:pStyle w:val="132"/>
        <w:rPr>
          <w:highlight w:val="none"/>
        </w:rPr>
      </w:pPr>
      <w:r>
        <w:rPr>
          <w:rFonts w:hint="eastAsia"/>
          <w:highlight w:val="none"/>
        </w:rPr>
        <w:t>出入库信息管理。宜具有入库管理、出库管理和移仓管理三个功能点。其中，入库管理是对农资入库的登记、计量、值仓等过程进行管理；出库管理是对农资出库的登记、计量、值仓等过程进行管理；移位管理是对农资开展移位作业的登记、计量等业务进行管理。</w:t>
      </w:r>
    </w:p>
    <w:p w14:paraId="77E69B3A">
      <w:pPr>
        <w:pStyle w:val="132"/>
        <w:rPr>
          <w:highlight w:val="none"/>
        </w:rPr>
      </w:pPr>
      <w:r>
        <w:rPr>
          <w:rFonts w:hint="eastAsia"/>
          <w:highlight w:val="none"/>
        </w:rPr>
        <w:t>数量监测。宜具有数据盘点功能，实现对农资出入库过程中的数据统计管理，包括农资品类、标准件数、存储数量等信息，并可实现按月生成并打印的月度存储报告。</w:t>
      </w:r>
    </w:p>
    <w:p w14:paraId="64DDFA5A">
      <w:pPr>
        <w:pStyle w:val="105"/>
        <w:spacing w:before="120" w:after="120"/>
        <w:rPr>
          <w:highlight w:val="none"/>
        </w:rPr>
      </w:pPr>
      <w:bookmarkStart w:id="101" w:name="_Toc214901871"/>
      <w:bookmarkStart w:id="102" w:name="_Toc30955"/>
      <w:r>
        <w:rPr>
          <w:rFonts w:hint="eastAsia"/>
          <w:highlight w:val="none"/>
        </w:rPr>
        <w:t>安全生产</w:t>
      </w:r>
      <w:bookmarkEnd w:id="101"/>
      <w:bookmarkEnd w:id="102"/>
    </w:p>
    <w:p w14:paraId="32DA3952">
      <w:pPr>
        <w:pStyle w:val="65"/>
        <w:spacing w:before="120" w:after="120"/>
        <w:rPr>
          <w:highlight w:val="none"/>
        </w:rPr>
      </w:pPr>
      <w:r>
        <w:rPr>
          <w:rFonts w:hint="eastAsia"/>
          <w:highlight w:val="none"/>
        </w:rPr>
        <w:t>视频监控</w:t>
      </w:r>
    </w:p>
    <w:p w14:paraId="78D5C478">
      <w:pPr>
        <w:pStyle w:val="56"/>
        <w:ind w:firstLine="420"/>
        <w:rPr>
          <w:highlight w:val="none"/>
        </w:rPr>
      </w:pPr>
      <w:r>
        <w:rPr>
          <w:rFonts w:hint="eastAsia"/>
          <w:highlight w:val="none"/>
        </w:rPr>
        <w:t>视频监控模块宜具有库区监控、仓内监控和智能分析等功能点，实现仓内农资实时、可视化管理。</w:t>
      </w:r>
    </w:p>
    <w:p w14:paraId="3BDF2CF3">
      <w:pPr>
        <w:pStyle w:val="132"/>
        <w:rPr>
          <w:highlight w:val="none"/>
        </w:rPr>
      </w:pPr>
      <w:r>
        <w:rPr>
          <w:rFonts w:hint="eastAsia"/>
          <w:highlight w:val="none"/>
        </w:rPr>
        <w:t>库区监控。通过在库区主要进出通道、库内主干道等重要场所安装摄像机，实现库区可视化管理，可查看库区实时监控视频和视频回放。可对库区视频监控的设备在线率、录像状况等进行统计，并生成报表。库区</w:t>
      </w:r>
      <w:bookmarkStart w:id="103" w:name="_Hlk217055211"/>
      <w:r>
        <w:rPr>
          <w:rFonts w:hint="eastAsia"/>
          <w:highlight w:val="none"/>
        </w:rPr>
        <w:t>视频监控设备在线率</w:t>
      </w:r>
      <w:bookmarkEnd w:id="103"/>
      <w:r>
        <w:rPr>
          <w:rFonts w:hint="eastAsia"/>
          <w:highlight w:val="none"/>
        </w:rPr>
        <w:t>按附录A计算。</w:t>
      </w:r>
    </w:p>
    <w:p w14:paraId="7BCC3BC4">
      <w:pPr>
        <w:pStyle w:val="132"/>
        <w:rPr>
          <w:highlight w:val="none"/>
        </w:rPr>
      </w:pPr>
      <w:r>
        <w:rPr>
          <w:rFonts w:hint="eastAsia"/>
          <w:highlight w:val="none"/>
        </w:rPr>
        <w:t>仓内监控。可查看仓内的实时视频监控，支持仓内摄像机查看、录像及云台控制。可对监控点的视频监控设备在线率、录像状况等数据进行统计，并生成报表。</w:t>
      </w:r>
    </w:p>
    <w:p w14:paraId="651DD812">
      <w:pPr>
        <w:pStyle w:val="132"/>
        <w:rPr>
          <w:highlight w:val="none"/>
        </w:rPr>
      </w:pPr>
      <w:r>
        <w:rPr>
          <w:rFonts w:hint="eastAsia"/>
          <w:highlight w:val="none"/>
        </w:rPr>
        <w:t>智能分析。可通过视频图像智能分析技术主动识别异常场景并进行自动预警，异常场景包括黑暗、粉尘视频增强、未佩戴安全帽、摄像机遮挡等。</w:t>
      </w:r>
    </w:p>
    <w:p w14:paraId="44F70CC5">
      <w:pPr>
        <w:pStyle w:val="105"/>
        <w:spacing w:before="120" w:after="120"/>
        <w:rPr>
          <w:highlight w:val="none"/>
        </w:rPr>
      </w:pPr>
      <w:bookmarkStart w:id="104" w:name="_Toc214901872"/>
      <w:bookmarkStart w:id="105" w:name="_Toc1021"/>
      <w:r>
        <w:rPr>
          <w:rFonts w:hint="eastAsia"/>
          <w:highlight w:val="none"/>
        </w:rPr>
        <w:t>财税与统计</w:t>
      </w:r>
      <w:bookmarkEnd w:id="104"/>
      <w:bookmarkEnd w:id="105"/>
    </w:p>
    <w:p w14:paraId="54B1C06D">
      <w:pPr>
        <w:pStyle w:val="132"/>
        <w:rPr>
          <w:highlight w:val="none"/>
        </w:rPr>
      </w:pPr>
      <w:r>
        <w:rPr>
          <w:rFonts w:hint="eastAsia"/>
          <w:highlight w:val="none"/>
        </w:rPr>
        <w:t>保管账。宜包括但不限于货位卡、记账凭证、明细账和保管总账等功能点。</w:t>
      </w:r>
    </w:p>
    <w:p w14:paraId="422FEDCA">
      <w:pPr>
        <w:pStyle w:val="132"/>
        <w:rPr>
          <w:highlight w:val="none"/>
        </w:rPr>
      </w:pPr>
      <w:r>
        <w:rPr>
          <w:rFonts w:hint="eastAsia"/>
          <w:highlight w:val="none"/>
        </w:rPr>
        <w:t>财务管理。可通过接口实现与财务管理系统的凭证、财务报表进行自动对接，自动推送结算信息生成记账凭证，实现业务和财务一体化管理。</w:t>
      </w:r>
    </w:p>
    <w:p w14:paraId="43C23034">
      <w:pPr>
        <w:pStyle w:val="104"/>
        <w:spacing w:before="240" w:after="240"/>
        <w:rPr>
          <w:highlight w:val="none"/>
        </w:rPr>
      </w:pPr>
      <w:bookmarkStart w:id="106" w:name="_Toc6616"/>
      <w:bookmarkStart w:id="107" w:name="_Toc214901873"/>
      <w:r>
        <w:rPr>
          <w:rFonts w:hint="eastAsia"/>
          <w:highlight w:val="none"/>
        </w:rPr>
        <w:t>省级平台系统建设</w:t>
      </w:r>
      <w:bookmarkEnd w:id="106"/>
      <w:bookmarkEnd w:id="107"/>
    </w:p>
    <w:p w14:paraId="0BC02238">
      <w:pPr>
        <w:pStyle w:val="105"/>
        <w:spacing w:before="120" w:after="120"/>
        <w:rPr>
          <w:highlight w:val="none"/>
        </w:rPr>
      </w:pPr>
      <w:bookmarkStart w:id="108" w:name="_Toc20801"/>
      <w:bookmarkStart w:id="109" w:name="_Toc214901874"/>
      <w:r>
        <w:rPr>
          <w:rFonts w:hint="eastAsia"/>
          <w:highlight w:val="none"/>
        </w:rPr>
        <w:t>系统功能</w:t>
      </w:r>
      <w:bookmarkEnd w:id="108"/>
      <w:bookmarkEnd w:id="109"/>
    </w:p>
    <w:p w14:paraId="64ED8453">
      <w:pPr>
        <w:pStyle w:val="56"/>
        <w:ind w:firstLine="420"/>
        <w:rPr>
          <w:highlight w:val="none"/>
        </w:rPr>
      </w:pPr>
      <w:r>
        <w:rPr>
          <w:rFonts w:hint="eastAsia"/>
          <w:highlight w:val="none"/>
        </w:rPr>
        <w:t>可展示本省、直辖市农资企业仓库的基础设施、仓房容量、农资品类、数量等，主要包括仓库布局地理信息系统、业务管理系统、虚拟平台等业务模块。系统主要功能按表2。</w:t>
      </w:r>
    </w:p>
    <w:p w14:paraId="06FA5705">
      <w:pPr>
        <w:pStyle w:val="112"/>
        <w:spacing w:before="120" w:after="120"/>
        <w:rPr>
          <w:highlight w:val="none"/>
        </w:rPr>
      </w:pPr>
      <w:r>
        <w:rPr>
          <w:rFonts w:hint="eastAsia"/>
          <w:highlight w:val="none"/>
        </w:rPr>
        <w:t>省级平台业务功能表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14:paraId="47698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500" w:type="pct"/>
            <w:tcBorders>
              <w:top w:val="single" w:color="auto" w:sz="8" w:space="0"/>
              <w:bottom w:val="single" w:color="auto" w:sz="8" w:space="0"/>
            </w:tcBorders>
            <w:vAlign w:val="center"/>
          </w:tcPr>
          <w:p w14:paraId="4CE91FC0">
            <w:pPr>
              <w:pStyle w:val="178"/>
              <w:rPr>
                <w:highlight w:val="none"/>
              </w:rPr>
            </w:pPr>
            <w:r>
              <w:rPr>
                <w:rFonts w:hint="eastAsia" w:ascii="黑体" w:hAnsi="黑体" w:eastAsia="黑体"/>
                <w:color w:val="000000"/>
                <w:highlight w:val="none"/>
              </w:rPr>
              <w:t>业务板块</w:t>
            </w:r>
          </w:p>
        </w:tc>
        <w:tc>
          <w:tcPr>
            <w:tcW w:w="2500" w:type="pct"/>
            <w:tcBorders>
              <w:top w:val="single" w:color="auto" w:sz="8" w:space="0"/>
              <w:bottom w:val="single" w:color="auto" w:sz="8" w:space="0"/>
            </w:tcBorders>
            <w:vAlign w:val="center"/>
          </w:tcPr>
          <w:p w14:paraId="2673E6C9">
            <w:pPr>
              <w:pStyle w:val="178"/>
              <w:rPr>
                <w:highlight w:val="none"/>
              </w:rPr>
            </w:pPr>
            <w:r>
              <w:rPr>
                <w:rFonts w:hint="eastAsia" w:ascii="黑体" w:hAnsi="黑体" w:eastAsia="黑体"/>
                <w:color w:val="000000"/>
                <w:highlight w:val="none"/>
              </w:rPr>
              <w:t>业务功能</w:t>
            </w:r>
          </w:p>
        </w:tc>
      </w:tr>
      <w:tr w14:paraId="5EAA2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restart"/>
            <w:tcBorders>
              <w:top w:val="single" w:color="auto" w:sz="8" w:space="0"/>
            </w:tcBorders>
            <w:vAlign w:val="center"/>
          </w:tcPr>
          <w:p w14:paraId="362B1A4F">
            <w:pPr>
              <w:pStyle w:val="178"/>
              <w:rPr>
                <w:highlight w:val="none"/>
              </w:rPr>
            </w:pPr>
            <w:bookmarkStart w:id="110" w:name="_Hlk214899801"/>
            <w:r>
              <w:rPr>
                <w:rFonts w:hint="eastAsia"/>
                <w:color w:val="000000"/>
                <w:highlight w:val="none"/>
              </w:rPr>
              <w:t>仓库布局地理信息系统</w:t>
            </w:r>
            <w:bookmarkEnd w:id="110"/>
          </w:p>
        </w:tc>
        <w:tc>
          <w:tcPr>
            <w:tcW w:w="2500" w:type="pct"/>
            <w:tcBorders>
              <w:top w:val="single" w:color="auto" w:sz="8" w:space="0"/>
            </w:tcBorders>
            <w:vAlign w:val="center"/>
          </w:tcPr>
          <w:p w14:paraId="2E9D2BE8">
            <w:pPr>
              <w:pStyle w:val="178"/>
              <w:rPr>
                <w:highlight w:val="none"/>
              </w:rPr>
            </w:pPr>
            <w:r>
              <w:rPr>
                <w:rFonts w:hint="eastAsia"/>
                <w:color w:val="000000"/>
                <w:highlight w:val="none"/>
              </w:rPr>
              <w:t>企业信息</w:t>
            </w:r>
          </w:p>
        </w:tc>
      </w:tr>
      <w:tr w14:paraId="2A4C3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continue"/>
            <w:vAlign w:val="center"/>
          </w:tcPr>
          <w:p w14:paraId="410C418F">
            <w:pPr>
              <w:pStyle w:val="178"/>
              <w:rPr>
                <w:highlight w:val="none"/>
              </w:rPr>
            </w:pPr>
          </w:p>
        </w:tc>
        <w:tc>
          <w:tcPr>
            <w:tcW w:w="2500" w:type="pct"/>
            <w:vAlign w:val="center"/>
          </w:tcPr>
          <w:p w14:paraId="0E3BE1A5">
            <w:pPr>
              <w:pStyle w:val="178"/>
              <w:rPr>
                <w:highlight w:val="none"/>
              </w:rPr>
            </w:pPr>
            <w:r>
              <w:rPr>
                <w:rFonts w:hint="eastAsia"/>
                <w:color w:val="000000"/>
                <w:highlight w:val="none"/>
              </w:rPr>
              <w:t>库存数量</w:t>
            </w:r>
          </w:p>
        </w:tc>
      </w:tr>
      <w:tr w14:paraId="30240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continue"/>
            <w:vAlign w:val="center"/>
          </w:tcPr>
          <w:p w14:paraId="47ECF211">
            <w:pPr>
              <w:pStyle w:val="178"/>
              <w:rPr>
                <w:highlight w:val="none"/>
              </w:rPr>
            </w:pPr>
          </w:p>
        </w:tc>
        <w:tc>
          <w:tcPr>
            <w:tcW w:w="2500" w:type="pct"/>
            <w:vAlign w:val="center"/>
          </w:tcPr>
          <w:p w14:paraId="680F5B07">
            <w:pPr>
              <w:pStyle w:val="178"/>
              <w:rPr>
                <w:highlight w:val="none"/>
              </w:rPr>
            </w:pPr>
            <w:r>
              <w:rPr>
                <w:rFonts w:hint="eastAsia"/>
                <w:color w:val="000000"/>
                <w:highlight w:val="none"/>
              </w:rPr>
              <w:t>出入库信息</w:t>
            </w:r>
          </w:p>
        </w:tc>
      </w:tr>
      <w:tr w14:paraId="6EE1E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continue"/>
            <w:vAlign w:val="center"/>
          </w:tcPr>
          <w:p w14:paraId="715821F0">
            <w:pPr>
              <w:pStyle w:val="178"/>
              <w:rPr>
                <w:highlight w:val="none"/>
              </w:rPr>
            </w:pPr>
          </w:p>
        </w:tc>
        <w:tc>
          <w:tcPr>
            <w:tcW w:w="2500" w:type="pct"/>
            <w:vAlign w:val="center"/>
          </w:tcPr>
          <w:p w14:paraId="5D1AF97C">
            <w:pPr>
              <w:pStyle w:val="178"/>
              <w:rPr>
                <w:highlight w:val="none"/>
              </w:rPr>
            </w:pPr>
            <w:r>
              <w:rPr>
                <w:rFonts w:hint="eastAsia"/>
                <w:color w:val="000000"/>
                <w:highlight w:val="none"/>
              </w:rPr>
              <w:t>视频监控</w:t>
            </w:r>
          </w:p>
        </w:tc>
      </w:tr>
      <w:tr w14:paraId="60355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restart"/>
            <w:vAlign w:val="center"/>
          </w:tcPr>
          <w:p w14:paraId="6BBF43D3">
            <w:pPr>
              <w:pStyle w:val="178"/>
              <w:rPr>
                <w:highlight w:val="none"/>
              </w:rPr>
            </w:pPr>
            <w:r>
              <w:rPr>
                <w:rFonts w:hint="eastAsia"/>
                <w:color w:val="000000"/>
                <w:highlight w:val="none"/>
              </w:rPr>
              <w:t>业务管理系统</w:t>
            </w:r>
          </w:p>
        </w:tc>
        <w:tc>
          <w:tcPr>
            <w:tcW w:w="2500" w:type="pct"/>
            <w:vAlign w:val="center"/>
          </w:tcPr>
          <w:p w14:paraId="2399D962">
            <w:pPr>
              <w:pStyle w:val="178"/>
              <w:rPr>
                <w:highlight w:val="none"/>
              </w:rPr>
            </w:pPr>
            <w:r>
              <w:rPr>
                <w:rFonts w:hint="eastAsia"/>
                <w:color w:val="000000"/>
                <w:highlight w:val="none"/>
              </w:rPr>
              <w:t>农资仓储</w:t>
            </w:r>
          </w:p>
        </w:tc>
      </w:tr>
      <w:tr w14:paraId="005DC3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Merge w:val="continue"/>
            <w:vAlign w:val="center"/>
          </w:tcPr>
          <w:p w14:paraId="791BF63D">
            <w:pPr>
              <w:pStyle w:val="178"/>
              <w:rPr>
                <w:highlight w:val="none"/>
              </w:rPr>
            </w:pPr>
          </w:p>
        </w:tc>
        <w:tc>
          <w:tcPr>
            <w:tcW w:w="2500" w:type="pct"/>
            <w:vAlign w:val="center"/>
          </w:tcPr>
          <w:p w14:paraId="40C27DB8">
            <w:pPr>
              <w:pStyle w:val="178"/>
              <w:rPr>
                <w:highlight w:val="none"/>
              </w:rPr>
            </w:pPr>
            <w:r>
              <w:rPr>
                <w:rFonts w:hint="eastAsia"/>
                <w:color w:val="000000"/>
                <w:highlight w:val="none"/>
              </w:rPr>
              <w:t>专项考核</w:t>
            </w:r>
          </w:p>
        </w:tc>
      </w:tr>
      <w:tr w14:paraId="5C0C5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00" w:type="pct"/>
            <w:vAlign w:val="center"/>
          </w:tcPr>
          <w:p w14:paraId="2823CB8B">
            <w:pPr>
              <w:pStyle w:val="178"/>
              <w:rPr>
                <w:highlight w:val="none"/>
              </w:rPr>
            </w:pPr>
            <w:r>
              <w:rPr>
                <w:rFonts w:hint="eastAsia"/>
                <w:color w:val="000000"/>
                <w:highlight w:val="none"/>
              </w:rPr>
              <w:t>虚拟平台</w:t>
            </w:r>
          </w:p>
        </w:tc>
        <w:tc>
          <w:tcPr>
            <w:tcW w:w="2500" w:type="pct"/>
            <w:vAlign w:val="center"/>
          </w:tcPr>
          <w:p w14:paraId="00446CBE">
            <w:pPr>
              <w:pStyle w:val="178"/>
              <w:rPr>
                <w:highlight w:val="none"/>
              </w:rPr>
            </w:pPr>
            <w:r>
              <w:rPr>
                <w:rFonts w:hint="eastAsia"/>
                <w:color w:val="000000"/>
                <w:highlight w:val="none"/>
              </w:rPr>
              <w:t>市、县级虚拟平台</w:t>
            </w:r>
          </w:p>
        </w:tc>
      </w:tr>
    </w:tbl>
    <w:p w14:paraId="61657B71">
      <w:pPr>
        <w:pStyle w:val="105"/>
        <w:spacing w:before="120" w:after="120"/>
        <w:rPr>
          <w:highlight w:val="none"/>
        </w:rPr>
      </w:pPr>
      <w:bookmarkStart w:id="111" w:name="_Toc214901875"/>
      <w:bookmarkStart w:id="112" w:name="_Toc9608"/>
      <w:r>
        <w:rPr>
          <w:rFonts w:hint="eastAsia"/>
          <w:highlight w:val="none"/>
        </w:rPr>
        <w:t>仓库布局地理信息系统</w:t>
      </w:r>
      <w:bookmarkEnd w:id="111"/>
      <w:bookmarkEnd w:id="112"/>
    </w:p>
    <w:p w14:paraId="0D3D860E">
      <w:pPr>
        <w:pStyle w:val="56"/>
        <w:ind w:firstLine="420"/>
        <w:rPr>
          <w:highlight w:val="none"/>
        </w:rPr>
      </w:pPr>
      <w:r>
        <w:rPr>
          <w:rFonts w:hint="eastAsia"/>
          <w:highlight w:val="none"/>
        </w:rPr>
        <w:t>能展示本省农资企业信息、库存数量、出入库信息、视频监控信息，可联动查看企业和仓库的动态库存。主要业务功能包括：</w:t>
      </w:r>
    </w:p>
    <w:p w14:paraId="0C4C7F10">
      <w:pPr>
        <w:pStyle w:val="132"/>
        <w:rPr>
          <w:highlight w:val="none"/>
        </w:rPr>
      </w:pPr>
      <w:r>
        <w:rPr>
          <w:rFonts w:hint="eastAsia"/>
          <w:highlight w:val="none"/>
        </w:rPr>
        <w:t>企业信息。包括企业基本情况、库区、仓房、货位等信息，统一制定命名规范，实现农资库存信息规范化管理与精准管理。</w:t>
      </w:r>
    </w:p>
    <w:p w14:paraId="6DB33039">
      <w:pPr>
        <w:pStyle w:val="132"/>
        <w:rPr>
          <w:highlight w:val="none"/>
        </w:rPr>
      </w:pPr>
      <w:r>
        <w:rPr>
          <w:rFonts w:hint="eastAsia"/>
          <w:highlight w:val="none"/>
        </w:rPr>
        <w:t>库存数量。通过对接各库区信息系统，实时掌握本省具体到货位的库存数量信息，实现农资数量分类汇总统计。包括库存数量查询、库存异常告警、GIS库存展示等。</w:t>
      </w:r>
    </w:p>
    <w:p w14:paraId="0E4DE961">
      <w:pPr>
        <w:pStyle w:val="132"/>
        <w:rPr>
          <w:highlight w:val="none"/>
        </w:rPr>
      </w:pPr>
      <w:r>
        <w:rPr>
          <w:rFonts w:hint="eastAsia"/>
          <w:highlight w:val="none"/>
        </w:rPr>
        <w:t>出入库信息。通过对农资出入库作业线上管理，实现对农资仓储全过程管理。包括入库业务记录、出库业务记录等。</w:t>
      </w:r>
    </w:p>
    <w:p w14:paraId="5DFEECA7">
      <w:pPr>
        <w:pStyle w:val="132"/>
        <w:rPr>
          <w:highlight w:val="none"/>
        </w:rPr>
      </w:pPr>
      <w:r>
        <w:rPr>
          <w:rFonts w:hint="eastAsia"/>
          <w:highlight w:val="none"/>
        </w:rPr>
        <w:t>视频监控信息。远程接入各库区的现场监控视频信号，提供直观、真实的远程可视化监督管理手段。包括实时视频监控、数据查证和视频回放、远程拍照、数据留证等。</w:t>
      </w:r>
    </w:p>
    <w:p w14:paraId="17C9A846">
      <w:pPr>
        <w:pStyle w:val="105"/>
        <w:spacing w:before="120" w:after="120"/>
        <w:rPr>
          <w:highlight w:val="none"/>
        </w:rPr>
      </w:pPr>
      <w:bookmarkStart w:id="113" w:name="_Toc18658"/>
      <w:bookmarkStart w:id="114" w:name="_Toc214901876"/>
      <w:r>
        <w:rPr>
          <w:rFonts w:hint="eastAsia"/>
          <w:highlight w:val="none"/>
        </w:rPr>
        <w:t>业务管理系统</w:t>
      </w:r>
      <w:bookmarkEnd w:id="113"/>
      <w:bookmarkEnd w:id="114"/>
    </w:p>
    <w:p w14:paraId="2E494498">
      <w:pPr>
        <w:pStyle w:val="165"/>
        <w:rPr>
          <w:highlight w:val="none"/>
        </w:rPr>
      </w:pPr>
      <w:r>
        <w:rPr>
          <w:rFonts w:hint="eastAsia"/>
          <w:highlight w:val="none"/>
        </w:rPr>
        <w:t>农资仓储。实现对本省农资企业购销计划和计划执行情况的跟踪管理，宜包括农资购销管理和农资库存信息统计。</w:t>
      </w:r>
    </w:p>
    <w:p w14:paraId="4BD959C7">
      <w:pPr>
        <w:pStyle w:val="165"/>
        <w:rPr>
          <w:highlight w:val="none"/>
        </w:rPr>
      </w:pPr>
      <w:r>
        <w:rPr>
          <w:rFonts w:hint="eastAsia"/>
          <w:highlight w:val="none"/>
        </w:rPr>
        <w:t>专项考核。实现考核的线上管理，宜包括考核指标建立、考核模板制定及考核工作任务下发、考核材料提交和考核管理。</w:t>
      </w:r>
    </w:p>
    <w:p w14:paraId="6C5609F9">
      <w:pPr>
        <w:pStyle w:val="105"/>
        <w:spacing w:before="120" w:after="120"/>
        <w:rPr>
          <w:highlight w:val="none"/>
        </w:rPr>
      </w:pPr>
      <w:bookmarkStart w:id="115" w:name="_Toc214901877"/>
      <w:bookmarkStart w:id="116" w:name="_Toc3892"/>
      <w:r>
        <w:rPr>
          <w:rFonts w:hint="eastAsia"/>
          <w:highlight w:val="none"/>
        </w:rPr>
        <w:t>虚拟平台</w:t>
      </w:r>
      <w:bookmarkEnd w:id="115"/>
      <w:bookmarkEnd w:id="116"/>
    </w:p>
    <w:p w14:paraId="3BC977C3">
      <w:pPr>
        <w:pStyle w:val="56"/>
        <w:ind w:firstLine="420"/>
        <w:rPr>
          <w:highlight w:val="none"/>
        </w:rPr>
      </w:pPr>
      <w:r>
        <w:rPr>
          <w:rFonts w:hint="eastAsia"/>
          <w:highlight w:val="none"/>
        </w:rPr>
        <w:t>市、县级农资业务管理部门原则上不再新建平台，根据自身的行政职能不同，从省级平台抽取对应功能构成虚拟平台。按需选择功能，使用方式与省级平台相同。</w:t>
      </w:r>
    </w:p>
    <w:p w14:paraId="3B0459AB">
      <w:pPr>
        <w:pStyle w:val="104"/>
        <w:spacing w:before="240" w:after="240"/>
        <w:rPr>
          <w:highlight w:val="none"/>
        </w:rPr>
      </w:pPr>
      <w:bookmarkStart w:id="117" w:name="_Toc214901878"/>
      <w:bookmarkStart w:id="118" w:name="_Toc14411"/>
      <w:r>
        <w:rPr>
          <w:rFonts w:hint="eastAsia"/>
          <w:highlight w:val="none"/>
        </w:rPr>
        <w:t>全国平台系统建设</w:t>
      </w:r>
      <w:bookmarkEnd w:id="117"/>
      <w:bookmarkEnd w:id="118"/>
    </w:p>
    <w:p w14:paraId="30F0C931">
      <w:pPr>
        <w:pStyle w:val="56"/>
        <w:ind w:firstLine="420"/>
        <w:rPr>
          <w:highlight w:val="none"/>
        </w:rPr>
      </w:pPr>
      <w:r>
        <w:rPr>
          <w:rFonts w:hint="eastAsia"/>
          <w:highlight w:val="none"/>
        </w:rPr>
        <w:t>动态显示全国农资企业仓库的基础设施、仓房容量、农资品类</w:t>
      </w:r>
      <w:bookmarkStart w:id="155" w:name="_GoBack"/>
      <w:bookmarkEnd w:id="155"/>
      <w:r>
        <w:rPr>
          <w:rFonts w:hint="eastAsia"/>
          <w:highlight w:val="none"/>
        </w:rPr>
        <w:t>、数量等信息，提供大数据分析及可视化展示，为农资仓储的数量安全、流通调度、应急处置、业务管理、宏观调控提供服务。全国平台系统功能按表3。</w:t>
      </w:r>
    </w:p>
    <w:p w14:paraId="20632F00">
      <w:pPr>
        <w:pStyle w:val="112"/>
        <w:spacing w:before="120" w:after="120"/>
        <w:rPr>
          <w:highlight w:val="none"/>
        </w:rPr>
      </w:pPr>
      <w:r>
        <w:rPr>
          <w:rFonts w:hint="eastAsia"/>
          <w:highlight w:val="none"/>
        </w:rPr>
        <w:t>全国平台业务功能表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690"/>
        <w:gridCol w:w="6644"/>
      </w:tblGrid>
      <w:tr w14:paraId="63917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41" w:type="pct"/>
            <w:tcBorders>
              <w:top w:val="single" w:color="auto" w:sz="8" w:space="0"/>
              <w:bottom w:val="single" w:color="auto" w:sz="8" w:space="0"/>
            </w:tcBorders>
            <w:vAlign w:val="center"/>
          </w:tcPr>
          <w:p w14:paraId="180ED072">
            <w:pPr>
              <w:pStyle w:val="178"/>
              <w:rPr>
                <w:rFonts w:hint="eastAsia" w:ascii="黑体" w:hAnsi="黑体" w:eastAsia="黑体"/>
                <w:szCs w:val="18"/>
                <w:highlight w:val="none"/>
              </w:rPr>
            </w:pPr>
            <w:r>
              <w:rPr>
                <w:rFonts w:hint="eastAsia" w:ascii="黑体" w:hAnsi="黑体" w:eastAsia="黑体"/>
                <w:color w:val="000000"/>
                <w:szCs w:val="18"/>
                <w:highlight w:val="none"/>
              </w:rPr>
              <w:t>分类</w:t>
            </w:r>
          </w:p>
        </w:tc>
        <w:tc>
          <w:tcPr>
            <w:tcW w:w="3559" w:type="pct"/>
            <w:tcBorders>
              <w:top w:val="single" w:color="auto" w:sz="8" w:space="0"/>
              <w:bottom w:val="single" w:color="auto" w:sz="8" w:space="0"/>
            </w:tcBorders>
            <w:vAlign w:val="center"/>
          </w:tcPr>
          <w:p w14:paraId="0B5F56CC">
            <w:pPr>
              <w:pStyle w:val="178"/>
              <w:rPr>
                <w:rFonts w:hint="eastAsia" w:ascii="黑体" w:hAnsi="黑体" w:eastAsia="黑体"/>
                <w:szCs w:val="18"/>
                <w:highlight w:val="none"/>
              </w:rPr>
            </w:pPr>
            <w:r>
              <w:rPr>
                <w:rFonts w:hint="eastAsia" w:ascii="黑体" w:hAnsi="黑体" w:eastAsia="黑体"/>
                <w:color w:val="000000"/>
                <w:szCs w:val="18"/>
                <w:highlight w:val="none"/>
              </w:rPr>
              <w:t>接口名称</w:t>
            </w:r>
          </w:p>
        </w:tc>
      </w:tr>
      <w:tr w14:paraId="7AD80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restart"/>
            <w:tcBorders>
              <w:top w:val="single" w:color="auto" w:sz="8" w:space="0"/>
            </w:tcBorders>
            <w:vAlign w:val="center"/>
          </w:tcPr>
          <w:p w14:paraId="5EBA16F3">
            <w:pPr>
              <w:pStyle w:val="178"/>
              <w:rPr>
                <w:szCs w:val="18"/>
                <w:highlight w:val="none"/>
              </w:rPr>
            </w:pPr>
            <w:r>
              <w:rPr>
                <w:rFonts w:hint="eastAsia"/>
                <w:color w:val="000000"/>
                <w:szCs w:val="18"/>
                <w:highlight w:val="none"/>
              </w:rPr>
              <w:t>基础信息</w:t>
            </w:r>
          </w:p>
        </w:tc>
        <w:tc>
          <w:tcPr>
            <w:tcW w:w="3559" w:type="pct"/>
            <w:tcBorders>
              <w:top w:val="single" w:color="auto" w:sz="8" w:space="0"/>
            </w:tcBorders>
            <w:vAlign w:val="center"/>
          </w:tcPr>
          <w:p w14:paraId="240F5261">
            <w:pPr>
              <w:pStyle w:val="178"/>
              <w:rPr>
                <w:szCs w:val="18"/>
                <w:highlight w:val="none"/>
              </w:rPr>
            </w:pPr>
            <w:r>
              <w:rPr>
                <w:rFonts w:hint="eastAsia"/>
                <w:color w:val="000000"/>
                <w:szCs w:val="18"/>
                <w:highlight w:val="none"/>
              </w:rPr>
              <w:t>单位信息</w:t>
            </w:r>
          </w:p>
        </w:tc>
      </w:tr>
      <w:tr w14:paraId="757FA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4DB15EB4">
            <w:pPr>
              <w:pStyle w:val="178"/>
              <w:rPr>
                <w:szCs w:val="18"/>
                <w:highlight w:val="none"/>
              </w:rPr>
            </w:pPr>
          </w:p>
        </w:tc>
        <w:tc>
          <w:tcPr>
            <w:tcW w:w="3559" w:type="pct"/>
            <w:vAlign w:val="center"/>
          </w:tcPr>
          <w:p w14:paraId="288AF257">
            <w:pPr>
              <w:pStyle w:val="178"/>
              <w:rPr>
                <w:szCs w:val="18"/>
                <w:highlight w:val="none"/>
              </w:rPr>
            </w:pPr>
            <w:r>
              <w:rPr>
                <w:rFonts w:hint="eastAsia"/>
                <w:color w:val="000000"/>
                <w:szCs w:val="18"/>
                <w:highlight w:val="none"/>
              </w:rPr>
              <w:t>库区信息</w:t>
            </w:r>
          </w:p>
        </w:tc>
      </w:tr>
      <w:tr w14:paraId="0F25F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3DA9BD42">
            <w:pPr>
              <w:pStyle w:val="178"/>
              <w:rPr>
                <w:szCs w:val="18"/>
                <w:highlight w:val="none"/>
              </w:rPr>
            </w:pPr>
          </w:p>
        </w:tc>
        <w:tc>
          <w:tcPr>
            <w:tcW w:w="3559" w:type="pct"/>
            <w:vAlign w:val="center"/>
          </w:tcPr>
          <w:p w14:paraId="33CE5F2D">
            <w:pPr>
              <w:pStyle w:val="178"/>
              <w:rPr>
                <w:szCs w:val="18"/>
                <w:highlight w:val="none"/>
              </w:rPr>
            </w:pPr>
            <w:r>
              <w:rPr>
                <w:rFonts w:hint="eastAsia"/>
                <w:color w:val="000000"/>
                <w:szCs w:val="18"/>
                <w:highlight w:val="none"/>
              </w:rPr>
              <w:t>仓房信息</w:t>
            </w:r>
          </w:p>
        </w:tc>
      </w:tr>
      <w:tr w14:paraId="2DBE8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3FAC6320">
            <w:pPr>
              <w:pStyle w:val="178"/>
              <w:rPr>
                <w:szCs w:val="18"/>
                <w:highlight w:val="none"/>
              </w:rPr>
            </w:pPr>
          </w:p>
        </w:tc>
        <w:tc>
          <w:tcPr>
            <w:tcW w:w="3559" w:type="pct"/>
            <w:vAlign w:val="center"/>
          </w:tcPr>
          <w:p w14:paraId="53639100">
            <w:pPr>
              <w:pStyle w:val="178"/>
              <w:rPr>
                <w:szCs w:val="18"/>
                <w:highlight w:val="none"/>
              </w:rPr>
            </w:pPr>
            <w:r>
              <w:rPr>
                <w:rFonts w:hint="eastAsia"/>
                <w:color w:val="000000"/>
                <w:szCs w:val="18"/>
                <w:highlight w:val="none"/>
              </w:rPr>
              <w:t>货位信息</w:t>
            </w:r>
          </w:p>
        </w:tc>
      </w:tr>
      <w:tr w14:paraId="44DA3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restart"/>
            <w:vAlign w:val="center"/>
          </w:tcPr>
          <w:p w14:paraId="0141F80A">
            <w:pPr>
              <w:pStyle w:val="178"/>
              <w:rPr>
                <w:szCs w:val="18"/>
                <w:highlight w:val="none"/>
              </w:rPr>
            </w:pPr>
            <w:r>
              <w:rPr>
                <w:rFonts w:hint="eastAsia"/>
                <w:color w:val="000000"/>
                <w:szCs w:val="18"/>
                <w:highlight w:val="none"/>
              </w:rPr>
              <w:t>仓储业务</w:t>
            </w:r>
          </w:p>
        </w:tc>
        <w:tc>
          <w:tcPr>
            <w:tcW w:w="3559" w:type="pct"/>
            <w:vAlign w:val="center"/>
          </w:tcPr>
          <w:p w14:paraId="5AD552E6">
            <w:pPr>
              <w:pStyle w:val="178"/>
              <w:rPr>
                <w:szCs w:val="18"/>
                <w:highlight w:val="none"/>
              </w:rPr>
            </w:pPr>
            <w:r>
              <w:rPr>
                <w:rFonts w:hint="eastAsia"/>
                <w:color w:val="000000"/>
                <w:szCs w:val="18"/>
                <w:highlight w:val="none"/>
              </w:rPr>
              <w:t>合同信息</w:t>
            </w:r>
          </w:p>
        </w:tc>
      </w:tr>
      <w:tr w14:paraId="449BA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023F41F5">
            <w:pPr>
              <w:pStyle w:val="178"/>
              <w:rPr>
                <w:szCs w:val="18"/>
                <w:highlight w:val="none"/>
              </w:rPr>
            </w:pPr>
          </w:p>
        </w:tc>
        <w:tc>
          <w:tcPr>
            <w:tcW w:w="3559" w:type="pct"/>
            <w:vAlign w:val="center"/>
          </w:tcPr>
          <w:p w14:paraId="4FD1F472">
            <w:pPr>
              <w:pStyle w:val="178"/>
              <w:rPr>
                <w:szCs w:val="18"/>
                <w:highlight w:val="none"/>
              </w:rPr>
            </w:pPr>
            <w:r>
              <w:rPr>
                <w:rFonts w:hint="eastAsia"/>
                <w:color w:val="000000"/>
                <w:szCs w:val="18"/>
                <w:highlight w:val="none"/>
              </w:rPr>
              <w:t>入库信息</w:t>
            </w:r>
          </w:p>
        </w:tc>
      </w:tr>
      <w:tr w14:paraId="2B8A3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232A423A">
            <w:pPr>
              <w:pStyle w:val="178"/>
              <w:rPr>
                <w:szCs w:val="18"/>
                <w:highlight w:val="none"/>
              </w:rPr>
            </w:pPr>
          </w:p>
        </w:tc>
        <w:tc>
          <w:tcPr>
            <w:tcW w:w="3559" w:type="pct"/>
            <w:vAlign w:val="center"/>
          </w:tcPr>
          <w:p w14:paraId="273B5DCC">
            <w:pPr>
              <w:pStyle w:val="178"/>
              <w:rPr>
                <w:szCs w:val="18"/>
                <w:highlight w:val="none"/>
              </w:rPr>
            </w:pPr>
            <w:r>
              <w:rPr>
                <w:rFonts w:hint="eastAsia"/>
                <w:color w:val="000000"/>
                <w:szCs w:val="18"/>
                <w:highlight w:val="none"/>
              </w:rPr>
              <w:t>出库信息</w:t>
            </w:r>
          </w:p>
        </w:tc>
      </w:tr>
      <w:tr w14:paraId="000E6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6FF301E3">
            <w:pPr>
              <w:pStyle w:val="178"/>
              <w:rPr>
                <w:szCs w:val="18"/>
                <w:highlight w:val="none"/>
              </w:rPr>
            </w:pPr>
          </w:p>
        </w:tc>
        <w:tc>
          <w:tcPr>
            <w:tcW w:w="3559" w:type="pct"/>
            <w:vAlign w:val="center"/>
          </w:tcPr>
          <w:p w14:paraId="589C524E">
            <w:pPr>
              <w:pStyle w:val="178"/>
              <w:rPr>
                <w:szCs w:val="18"/>
                <w:highlight w:val="none"/>
              </w:rPr>
            </w:pPr>
            <w:r>
              <w:rPr>
                <w:rFonts w:hint="eastAsia"/>
                <w:color w:val="000000"/>
                <w:szCs w:val="18"/>
                <w:highlight w:val="none"/>
              </w:rPr>
              <w:t>移仓信息</w:t>
            </w:r>
          </w:p>
        </w:tc>
      </w:tr>
      <w:tr w14:paraId="2DF80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43F06F4B">
            <w:pPr>
              <w:pStyle w:val="178"/>
              <w:rPr>
                <w:szCs w:val="18"/>
                <w:highlight w:val="none"/>
              </w:rPr>
            </w:pPr>
          </w:p>
        </w:tc>
        <w:tc>
          <w:tcPr>
            <w:tcW w:w="3559" w:type="pct"/>
            <w:vAlign w:val="center"/>
          </w:tcPr>
          <w:p w14:paraId="79EA5627">
            <w:pPr>
              <w:pStyle w:val="178"/>
              <w:rPr>
                <w:szCs w:val="18"/>
                <w:highlight w:val="none"/>
              </w:rPr>
            </w:pPr>
            <w:r>
              <w:rPr>
                <w:rFonts w:hint="eastAsia"/>
                <w:color w:val="000000"/>
                <w:szCs w:val="18"/>
                <w:highlight w:val="none"/>
              </w:rPr>
              <w:t>库存信息</w:t>
            </w:r>
          </w:p>
        </w:tc>
      </w:tr>
      <w:tr w14:paraId="28D1D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207F37D8">
            <w:pPr>
              <w:pStyle w:val="178"/>
              <w:rPr>
                <w:szCs w:val="18"/>
                <w:highlight w:val="none"/>
              </w:rPr>
            </w:pPr>
          </w:p>
        </w:tc>
        <w:tc>
          <w:tcPr>
            <w:tcW w:w="3559" w:type="pct"/>
            <w:vAlign w:val="center"/>
          </w:tcPr>
          <w:p w14:paraId="4B8E2FF0">
            <w:pPr>
              <w:pStyle w:val="178"/>
              <w:rPr>
                <w:szCs w:val="18"/>
                <w:highlight w:val="none"/>
              </w:rPr>
            </w:pPr>
            <w:r>
              <w:rPr>
                <w:rFonts w:hint="eastAsia"/>
                <w:color w:val="000000"/>
                <w:szCs w:val="18"/>
                <w:highlight w:val="none"/>
              </w:rPr>
              <w:t>仓内视频图像</w:t>
            </w:r>
          </w:p>
        </w:tc>
      </w:tr>
      <w:tr w14:paraId="552B1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14EC8BD3">
            <w:pPr>
              <w:pStyle w:val="178"/>
              <w:rPr>
                <w:szCs w:val="18"/>
                <w:highlight w:val="none"/>
              </w:rPr>
            </w:pPr>
          </w:p>
        </w:tc>
        <w:tc>
          <w:tcPr>
            <w:tcW w:w="3559" w:type="pct"/>
            <w:vAlign w:val="center"/>
          </w:tcPr>
          <w:p w14:paraId="51BCDB05">
            <w:pPr>
              <w:pStyle w:val="178"/>
              <w:rPr>
                <w:szCs w:val="18"/>
                <w:highlight w:val="none"/>
              </w:rPr>
            </w:pPr>
            <w:r>
              <w:rPr>
                <w:rFonts w:hint="eastAsia"/>
                <w:color w:val="000000"/>
                <w:szCs w:val="18"/>
                <w:highlight w:val="none"/>
              </w:rPr>
              <w:t>专项考核</w:t>
            </w:r>
          </w:p>
        </w:tc>
      </w:tr>
      <w:tr w14:paraId="0B2E5E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restart"/>
            <w:vAlign w:val="center"/>
          </w:tcPr>
          <w:p w14:paraId="7267B659">
            <w:pPr>
              <w:pStyle w:val="178"/>
              <w:rPr>
                <w:szCs w:val="18"/>
                <w:highlight w:val="none"/>
              </w:rPr>
            </w:pPr>
            <w:r>
              <w:rPr>
                <w:rFonts w:hint="eastAsia"/>
                <w:color w:val="000000"/>
                <w:szCs w:val="18"/>
                <w:highlight w:val="none"/>
              </w:rPr>
              <w:t>智能分析</w:t>
            </w:r>
          </w:p>
        </w:tc>
        <w:tc>
          <w:tcPr>
            <w:tcW w:w="3559" w:type="pct"/>
            <w:vAlign w:val="center"/>
          </w:tcPr>
          <w:p w14:paraId="0FCB7403">
            <w:pPr>
              <w:pStyle w:val="178"/>
              <w:rPr>
                <w:szCs w:val="18"/>
                <w:highlight w:val="none"/>
              </w:rPr>
            </w:pPr>
            <w:r>
              <w:rPr>
                <w:rFonts w:hint="eastAsia"/>
                <w:color w:val="000000"/>
                <w:szCs w:val="18"/>
                <w:highlight w:val="none"/>
              </w:rPr>
              <w:t>视频监控异常事件告警</w:t>
            </w:r>
          </w:p>
        </w:tc>
      </w:tr>
      <w:tr w14:paraId="608BA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Merge w:val="continue"/>
            <w:vAlign w:val="center"/>
          </w:tcPr>
          <w:p w14:paraId="0CE64C36">
            <w:pPr>
              <w:pStyle w:val="178"/>
              <w:rPr>
                <w:szCs w:val="18"/>
                <w:highlight w:val="none"/>
              </w:rPr>
            </w:pPr>
          </w:p>
        </w:tc>
        <w:tc>
          <w:tcPr>
            <w:tcW w:w="3559" w:type="pct"/>
            <w:vAlign w:val="center"/>
          </w:tcPr>
          <w:p w14:paraId="7A0658DA">
            <w:pPr>
              <w:pStyle w:val="178"/>
              <w:rPr>
                <w:szCs w:val="18"/>
                <w:highlight w:val="none"/>
              </w:rPr>
            </w:pPr>
            <w:r>
              <w:rPr>
                <w:rFonts w:hint="eastAsia"/>
                <w:color w:val="000000"/>
                <w:szCs w:val="18"/>
                <w:highlight w:val="none"/>
              </w:rPr>
              <w:t>违规预警</w:t>
            </w:r>
          </w:p>
        </w:tc>
      </w:tr>
      <w:tr w14:paraId="16A94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41" w:type="pct"/>
            <w:vAlign w:val="center"/>
          </w:tcPr>
          <w:p w14:paraId="699D9F7D">
            <w:pPr>
              <w:pStyle w:val="178"/>
              <w:rPr>
                <w:szCs w:val="18"/>
                <w:highlight w:val="none"/>
              </w:rPr>
            </w:pPr>
            <w:r>
              <w:rPr>
                <w:rFonts w:hint="eastAsia"/>
                <w:color w:val="000000"/>
                <w:szCs w:val="18"/>
                <w:highlight w:val="none"/>
              </w:rPr>
              <w:t>业务管理</w:t>
            </w:r>
          </w:p>
        </w:tc>
        <w:tc>
          <w:tcPr>
            <w:tcW w:w="3559" w:type="pct"/>
            <w:vAlign w:val="center"/>
          </w:tcPr>
          <w:p w14:paraId="5EFC788B">
            <w:pPr>
              <w:pStyle w:val="178"/>
              <w:rPr>
                <w:szCs w:val="18"/>
                <w:highlight w:val="none"/>
              </w:rPr>
            </w:pPr>
            <w:r>
              <w:rPr>
                <w:rFonts w:hint="eastAsia"/>
                <w:color w:val="000000"/>
                <w:szCs w:val="18"/>
                <w:highlight w:val="none"/>
              </w:rPr>
              <w:t>农资购销计划信息</w:t>
            </w:r>
          </w:p>
        </w:tc>
      </w:tr>
    </w:tbl>
    <w:p w14:paraId="77695DFF">
      <w:pPr>
        <w:pStyle w:val="56"/>
        <w:ind w:firstLine="0" w:firstLineChars="0"/>
        <w:rPr>
          <w:highlight w:val="none"/>
        </w:rPr>
      </w:pPr>
    </w:p>
    <w:p w14:paraId="2047FC3F">
      <w:pPr>
        <w:pStyle w:val="104"/>
        <w:spacing w:before="240" w:after="240"/>
        <w:rPr>
          <w:highlight w:val="none"/>
        </w:rPr>
      </w:pPr>
      <w:bookmarkStart w:id="119" w:name="_Toc214901879"/>
      <w:bookmarkStart w:id="120" w:name="_Toc24916"/>
      <w:r>
        <w:rPr>
          <w:rFonts w:hint="eastAsia"/>
          <w:highlight w:val="none"/>
        </w:rPr>
        <w:t>系统数据互联互通</w:t>
      </w:r>
      <w:bookmarkEnd w:id="119"/>
      <w:bookmarkEnd w:id="120"/>
    </w:p>
    <w:p w14:paraId="04A4B310">
      <w:pPr>
        <w:pStyle w:val="105"/>
        <w:spacing w:before="120" w:after="120"/>
        <w:rPr>
          <w:highlight w:val="none"/>
        </w:rPr>
      </w:pPr>
      <w:bookmarkStart w:id="121" w:name="_Toc28671"/>
      <w:bookmarkStart w:id="122" w:name="_Toc214901880"/>
      <w:r>
        <w:rPr>
          <w:rFonts w:hint="eastAsia"/>
          <w:highlight w:val="none"/>
        </w:rPr>
        <w:t>总体要求</w:t>
      </w:r>
      <w:bookmarkEnd w:id="121"/>
      <w:bookmarkEnd w:id="122"/>
    </w:p>
    <w:p w14:paraId="3D762CCD">
      <w:pPr>
        <w:pStyle w:val="56"/>
        <w:ind w:firstLine="420"/>
        <w:rPr>
          <w:highlight w:val="none"/>
        </w:rPr>
      </w:pPr>
      <w:r>
        <w:rPr>
          <w:rFonts w:hint="eastAsia"/>
          <w:highlight w:val="none"/>
        </w:rPr>
        <w:t>在全国平台与省级平台之间系统数据互通共享的设计、建设、运维中，应遵循本部分规定的传输技术、接口数据安全、接口数据字段、数据质量管理等要求。互联互通的总体架构按图4。</w:t>
      </w:r>
    </w:p>
    <w:p w14:paraId="79A192F4">
      <w:pPr>
        <w:pStyle w:val="56"/>
        <w:ind w:firstLine="0" w:firstLineChars="0"/>
        <w:jc w:val="center"/>
        <w:rPr>
          <w:highlight w:val="none"/>
        </w:rPr>
      </w:pPr>
      <w:r>
        <w:rPr>
          <w:highlight w:val="none"/>
        </w:rPr>
        <w:drawing>
          <wp:inline distT="0" distB="0" distL="114300" distR="114300">
            <wp:extent cx="3408045" cy="3620770"/>
            <wp:effectExtent l="0" t="0" r="1905"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3408045" cy="3620770"/>
                    </a:xfrm>
                    <a:prstGeom prst="rect">
                      <a:avLst/>
                    </a:prstGeom>
                    <a:noFill/>
                    <a:ln>
                      <a:noFill/>
                    </a:ln>
                  </pic:spPr>
                </pic:pic>
              </a:graphicData>
            </a:graphic>
          </wp:inline>
        </w:drawing>
      </w:r>
    </w:p>
    <w:p w14:paraId="468F9CB7">
      <w:pPr>
        <w:pStyle w:val="114"/>
        <w:spacing w:before="120" w:after="120"/>
        <w:rPr>
          <w:highlight w:val="none"/>
        </w:rPr>
      </w:pPr>
      <w:r>
        <w:rPr>
          <w:rFonts w:hint="eastAsia"/>
          <w:highlight w:val="none"/>
        </w:rPr>
        <w:t>数据互联互通的总体架构图</w:t>
      </w:r>
    </w:p>
    <w:p w14:paraId="0E7BFEE9">
      <w:pPr>
        <w:pStyle w:val="105"/>
        <w:spacing w:before="120" w:after="120"/>
        <w:rPr>
          <w:highlight w:val="none"/>
        </w:rPr>
      </w:pPr>
      <w:bookmarkStart w:id="123" w:name="_Toc214901881"/>
      <w:bookmarkStart w:id="124" w:name="_Toc666"/>
      <w:r>
        <w:rPr>
          <w:rFonts w:hint="eastAsia"/>
          <w:highlight w:val="none"/>
        </w:rPr>
        <w:t>数据接口参数规范</w:t>
      </w:r>
      <w:bookmarkEnd w:id="123"/>
      <w:bookmarkEnd w:id="124"/>
    </w:p>
    <w:p w14:paraId="45EEEFBC">
      <w:pPr>
        <w:pStyle w:val="132"/>
        <w:rPr>
          <w:highlight w:val="none"/>
        </w:rPr>
      </w:pPr>
      <w:r>
        <w:rPr>
          <w:rFonts w:hint="eastAsia"/>
          <w:highlight w:val="none"/>
        </w:rPr>
        <w:t>所有服务接口基于</w:t>
      </w:r>
      <w:r>
        <w:rPr>
          <w:highlight w:val="none"/>
        </w:rPr>
        <w:t>HTTP</w:t>
      </w:r>
      <w:r>
        <w:rPr>
          <w:rFonts w:hint="eastAsia"/>
          <w:highlight w:val="none"/>
        </w:rPr>
        <w:t>/</w:t>
      </w:r>
      <w:r>
        <w:rPr>
          <w:highlight w:val="none"/>
        </w:rPr>
        <w:t>HTTP</w:t>
      </w:r>
      <w:r>
        <w:rPr>
          <w:rFonts w:hint="eastAsia"/>
          <w:highlight w:val="none"/>
        </w:rPr>
        <w:t>S协议。</w:t>
      </w:r>
    </w:p>
    <w:p w14:paraId="7A6FD6E3">
      <w:pPr>
        <w:pStyle w:val="132"/>
        <w:rPr>
          <w:highlight w:val="none"/>
        </w:rPr>
      </w:pPr>
      <w:r>
        <w:rPr>
          <w:rFonts w:hint="eastAsia"/>
          <w:highlight w:val="none"/>
        </w:rPr>
        <w:t>省级平台和全国平台上传数据应采用</w:t>
      </w:r>
      <w:r>
        <w:rPr>
          <w:highlight w:val="none"/>
        </w:rPr>
        <w:t>POST</w:t>
      </w:r>
      <w:r>
        <w:rPr>
          <w:rFonts w:hint="eastAsia"/>
          <w:highlight w:val="none"/>
        </w:rPr>
        <w:t>方式。</w:t>
      </w:r>
    </w:p>
    <w:p w14:paraId="2F93A945">
      <w:pPr>
        <w:pStyle w:val="132"/>
        <w:rPr>
          <w:highlight w:val="none"/>
        </w:rPr>
      </w:pPr>
      <w:r>
        <w:rPr>
          <w:rFonts w:hint="eastAsia"/>
          <w:highlight w:val="none"/>
        </w:rPr>
        <w:t>所有请求和响应数据编码皆为</w:t>
      </w:r>
      <w:r>
        <w:rPr>
          <w:highlight w:val="none"/>
        </w:rPr>
        <w:t>utf-8</w:t>
      </w:r>
      <w:r>
        <w:rPr>
          <w:rFonts w:hint="eastAsia"/>
          <w:highlight w:val="none"/>
        </w:rPr>
        <w:t>格式。</w:t>
      </w:r>
    </w:p>
    <w:p w14:paraId="4ED177A2">
      <w:pPr>
        <w:pStyle w:val="105"/>
        <w:spacing w:before="120" w:after="120"/>
        <w:rPr>
          <w:highlight w:val="none"/>
        </w:rPr>
      </w:pPr>
      <w:bookmarkStart w:id="125" w:name="_Toc15138"/>
      <w:bookmarkStart w:id="126" w:name="_Toc214901882"/>
      <w:r>
        <w:rPr>
          <w:rFonts w:hint="eastAsia"/>
          <w:highlight w:val="none"/>
        </w:rPr>
        <w:t>数据服务</w:t>
      </w:r>
      <w:bookmarkEnd w:id="125"/>
      <w:bookmarkEnd w:id="126"/>
    </w:p>
    <w:p w14:paraId="54E76B33">
      <w:pPr>
        <w:pStyle w:val="56"/>
        <w:ind w:firstLine="420"/>
        <w:rPr>
          <w:highlight w:val="none"/>
        </w:rPr>
      </w:pPr>
      <w:r>
        <w:rPr>
          <w:rFonts w:hint="eastAsia"/>
          <w:highlight w:val="none"/>
        </w:rPr>
        <w:t>平台数据宜符合以下要求：</w:t>
      </w:r>
    </w:p>
    <w:p w14:paraId="4D086C34">
      <w:pPr>
        <w:pStyle w:val="132"/>
        <w:rPr>
          <w:highlight w:val="none"/>
        </w:rPr>
      </w:pPr>
      <w:r>
        <w:rPr>
          <w:rFonts w:hint="eastAsia"/>
          <w:highlight w:val="none"/>
        </w:rPr>
        <w:t>数据共享。采用服务接口的方式，全国平台作为服务接口的发布方，对外提供共享数据接口服务；省级平台作为服务接口的调用方，调用全国平台发布的数据接口，完成全国平台的数据下载。</w:t>
      </w:r>
    </w:p>
    <w:p w14:paraId="572BD736">
      <w:pPr>
        <w:pStyle w:val="132"/>
        <w:rPr>
          <w:highlight w:val="none"/>
        </w:rPr>
      </w:pPr>
      <w:r>
        <w:rPr>
          <w:rFonts w:hint="eastAsia"/>
          <w:highlight w:val="none"/>
        </w:rPr>
        <w:t>数据查询。全国平台提供服务接口供省级平台调用，主要提供有关数据查询结果。</w:t>
      </w:r>
    </w:p>
    <w:p w14:paraId="47EC2808">
      <w:pPr>
        <w:pStyle w:val="104"/>
        <w:spacing w:before="240" w:after="240"/>
        <w:rPr>
          <w:highlight w:val="none"/>
        </w:rPr>
      </w:pPr>
      <w:bookmarkStart w:id="127" w:name="_Toc214292407"/>
      <w:bookmarkStart w:id="128" w:name="_Toc214901883"/>
      <w:bookmarkStart w:id="129" w:name="_Toc31729"/>
      <w:r>
        <w:rPr>
          <w:rFonts w:hint="eastAsia"/>
          <w:highlight w:val="none"/>
        </w:rPr>
        <w:t>基础设施</w:t>
      </w:r>
      <w:bookmarkEnd w:id="127"/>
      <w:bookmarkEnd w:id="128"/>
      <w:bookmarkEnd w:id="129"/>
    </w:p>
    <w:p w14:paraId="49C88695">
      <w:pPr>
        <w:pStyle w:val="105"/>
        <w:spacing w:before="120" w:after="120"/>
        <w:rPr>
          <w:highlight w:val="none"/>
        </w:rPr>
      </w:pPr>
      <w:bookmarkStart w:id="130" w:name="_Toc2045"/>
      <w:bookmarkStart w:id="131" w:name="_Toc214292408"/>
      <w:bookmarkStart w:id="132" w:name="_Toc214901884"/>
      <w:r>
        <w:rPr>
          <w:rFonts w:hint="eastAsia"/>
          <w:highlight w:val="none"/>
        </w:rPr>
        <w:t>机房</w:t>
      </w:r>
      <w:bookmarkEnd w:id="130"/>
      <w:bookmarkEnd w:id="131"/>
      <w:bookmarkEnd w:id="132"/>
    </w:p>
    <w:p w14:paraId="2CDFED81">
      <w:pPr>
        <w:pStyle w:val="132"/>
        <w:rPr>
          <w:highlight w:val="none"/>
        </w:rPr>
      </w:pPr>
      <w:r>
        <w:rPr>
          <w:rFonts w:hint="eastAsia"/>
          <w:highlight w:val="none"/>
        </w:rPr>
        <w:t>机房可自建或租赁。</w:t>
      </w:r>
    </w:p>
    <w:p w14:paraId="25A72C81">
      <w:pPr>
        <w:pStyle w:val="132"/>
        <w:rPr>
          <w:highlight w:val="none"/>
        </w:rPr>
      </w:pPr>
      <w:r>
        <w:rPr>
          <w:rFonts w:hint="eastAsia"/>
          <w:highlight w:val="none"/>
        </w:rPr>
        <w:t>自建机房基础设施包括但不限于农资仓库信息化系统所需的服务器、存储设备、交换机、防火墙、UPS等，承载和保障农资仓库信息系统的稳定运行和安全防护。</w:t>
      </w:r>
    </w:p>
    <w:p w14:paraId="19632503">
      <w:pPr>
        <w:pStyle w:val="132"/>
        <w:rPr>
          <w:highlight w:val="none"/>
        </w:rPr>
      </w:pPr>
      <w:r>
        <w:rPr>
          <w:rFonts w:hint="eastAsia"/>
          <w:highlight w:val="none"/>
        </w:rPr>
        <w:t>租赁机房应提供并满足保障农资仓库信息化体系建设所需要的软硬件设施稳健运行环境。</w:t>
      </w:r>
    </w:p>
    <w:p w14:paraId="0B8F96E5">
      <w:pPr>
        <w:pStyle w:val="105"/>
        <w:spacing w:before="120" w:after="120"/>
        <w:rPr>
          <w:highlight w:val="none"/>
        </w:rPr>
      </w:pPr>
      <w:bookmarkStart w:id="133" w:name="_Toc214292409"/>
      <w:bookmarkStart w:id="134" w:name="_Toc214901885"/>
      <w:bookmarkStart w:id="135" w:name="_Toc3934"/>
      <w:r>
        <w:rPr>
          <w:rFonts w:hint="eastAsia"/>
          <w:highlight w:val="none"/>
        </w:rPr>
        <w:t>通信网络</w:t>
      </w:r>
      <w:bookmarkEnd w:id="133"/>
      <w:bookmarkEnd w:id="134"/>
      <w:bookmarkEnd w:id="135"/>
    </w:p>
    <w:p w14:paraId="1E9C8884">
      <w:pPr>
        <w:pStyle w:val="132"/>
        <w:rPr>
          <w:highlight w:val="none"/>
        </w:rPr>
      </w:pPr>
      <w:bookmarkStart w:id="136" w:name="_Hlk214291151"/>
      <w:r>
        <w:rPr>
          <w:rFonts w:hint="eastAsia"/>
          <w:highlight w:val="none"/>
        </w:rPr>
        <w:t>包括但不限于</w:t>
      </w:r>
      <w:bookmarkEnd w:id="136"/>
      <w:r>
        <w:rPr>
          <w:rFonts w:hint="eastAsia"/>
          <w:highlight w:val="none"/>
        </w:rPr>
        <w:t>局域网、VPN等网络接入方式。</w:t>
      </w:r>
    </w:p>
    <w:p w14:paraId="762DE1B4">
      <w:pPr>
        <w:pStyle w:val="132"/>
        <w:rPr>
          <w:highlight w:val="none"/>
        </w:rPr>
      </w:pPr>
      <w:r>
        <w:rPr>
          <w:rFonts w:hint="eastAsia"/>
          <w:highlight w:val="none"/>
        </w:rPr>
        <w:t>应提供支撑信息化系统运行所需的网络服务能力,实现安全、可靠、高效的网络访问。</w:t>
      </w:r>
    </w:p>
    <w:p w14:paraId="5938A79B">
      <w:pPr>
        <w:pStyle w:val="105"/>
        <w:spacing w:before="120" w:after="120"/>
        <w:rPr>
          <w:highlight w:val="none"/>
        </w:rPr>
      </w:pPr>
      <w:bookmarkStart w:id="137" w:name="_Toc214292410"/>
      <w:bookmarkStart w:id="138" w:name="_Toc214901886"/>
      <w:bookmarkStart w:id="139" w:name="_Toc29149"/>
      <w:r>
        <w:rPr>
          <w:rFonts w:hint="eastAsia"/>
          <w:highlight w:val="none"/>
        </w:rPr>
        <w:t>云平台</w:t>
      </w:r>
      <w:bookmarkEnd w:id="137"/>
      <w:bookmarkEnd w:id="138"/>
      <w:bookmarkEnd w:id="139"/>
    </w:p>
    <w:p w14:paraId="6D82D0D4">
      <w:pPr>
        <w:pStyle w:val="56"/>
        <w:ind w:firstLine="420"/>
        <w:rPr>
          <w:highlight w:val="none"/>
        </w:rPr>
      </w:pPr>
      <w:r>
        <w:rPr>
          <w:rFonts w:hint="eastAsia"/>
          <w:highlight w:val="none"/>
        </w:rPr>
        <w:t>提供农资仓储信息化体系建设所需的数字基础设施服务，包括但不限于计算服务、存储服务、网络服务、数据库、中间件、安全服务等。</w:t>
      </w:r>
    </w:p>
    <w:p w14:paraId="4E9247F4">
      <w:pPr>
        <w:pStyle w:val="104"/>
        <w:spacing w:before="240" w:after="240"/>
        <w:rPr>
          <w:highlight w:val="none"/>
        </w:rPr>
      </w:pPr>
      <w:bookmarkStart w:id="140" w:name="_Toc12013"/>
      <w:bookmarkStart w:id="141" w:name="_Toc214901887"/>
      <w:bookmarkStart w:id="142" w:name="_Toc214292421"/>
      <w:r>
        <w:rPr>
          <w:rFonts w:hint="eastAsia"/>
          <w:highlight w:val="none"/>
        </w:rPr>
        <w:t>安全与运维</w:t>
      </w:r>
      <w:bookmarkEnd w:id="140"/>
      <w:bookmarkEnd w:id="141"/>
      <w:bookmarkEnd w:id="142"/>
    </w:p>
    <w:p w14:paraId="5CDF4E0E">
      <w:pPr>
        <w:pStyle w:val="105"/>
        <w:spacing w:before="120" w:after="120"/>
        <w:rPr>
          <w:highlight w:val="none"/>
        </w:rPr>
      </w:pPr>
      <w:bookmarkStart w:id="143" w:name="_Toc7876"/>
      <w:bookmarkStart w:id="144" w:name="_Toc214292422"/>
      <w:bookmarkStart w:id="145" w:name="_Toc214901888"/>
      <w:r>
        <w:rPr>
          <w:rFonts w:hint="eastAsia"/>
          <w:highlight w:val="none"/>
        </w:rPr>
        <w:t>信息安全</w:t>
      </w:r>
      <w:bookmarkEnd w:id="143"/>
      <w:bookmarkEnd w:id="144"/>
      <w:bookmarkEnd w:id="145"/>
    </w:p>
    <w:p w14:paraId="7DC256EF">
      <w:pPr>
        <w:pStyle w:val="65"/>
        <w:spacing w:before="120" w:after="120"/>
        <w:rPr>
          <w:highlight w:val="none"/>
        </w:rPr>
      </w:pPr>
      <w:r>
        <w:rPr>
          <w:rFonts w:hint="eastAsia"/>
          <w:highlight w:val="none"/>
        </w:rPr>
        <w:t>物理安全</w:t>
      </w:r>
    </w:p>
    <w:p w14:paraId="238E0596">
      <w:pPr>
        <w:pStyle w:val="174"/>
        <w:numPr>
          <w:ilvl w:val="0"/>
          <w:numId w:val="32"/>
        </w:numPr>
        <w:rPr>
          <w:highlight w:val="none"/>
        </w:rPr>
      </w:pPr>
      <w:r>
        <w:rPr>
          <w:rFonts w:hint="eastAsia"/>
          <w:highlight w:val="none"/>
        </w:rPr>
        <w:t>机房和办公场地宜独立于仓房建筑，具有防震、防风和防雨等能力，并采取防雷击、防火、防水、防潮、防静电以及温湿度控制、电磁防护措施。</w:t>
      </w:r>
    </w:p>
    <w:p w14:paraId="1A792196">
      <w:pPr>
        <w:pStyle w:val="174"/>
        <w:rPr>
          <w:highlight w:val="none"/>
        </w:rPr>
      </w:pPr>
      <w:r>
        <w:rPr>
          <w:rFonts w:hint="eastAsia"/>
          <w:highlight w:val="none"/>
        </w:rPr>
        <w:t>应在机房供电线路上配置UPS和过电压防护设备，在供电不足或中断时，应保证服务器系统正常工作不低于30分钟。可根据需要建立备用发电机组，以延长服务器及重要设备的正常运行时间。</w:t>
      </w:r>
    </w:p>
    <w:p w14:paraId="340A4605">
      <w:pPr>
        <w:pStyle w:val="65"/>
        <w:spacing w:before="120" w:after="120"/>
        <w:rPr>
          <w:highlight w:val="none"/>
        </w:rPr>
      </w:pPr>
      <w:r>
        <w:rPr>
          <w:rFonts w:hint="eastAsia"/>
          <w:highlight w:val="none"/>
        </w:rPr>
        <w:t>网络安全</w:t>
      </w:r>
    </w:p>
    <w:p w14:paraId="092CEF15">
      <w:pPr>
        <w:pStyle w:val="174"/>
        <w:numPr>
          <w:ilvl w:val="0"/>
          <w:numId w:val="33"/>
        </w:numPr>
        <w:rPr>
          <w:highlight w:val="none"/>
        </w:rPr>
      </w:pPr>
      <w:r>
        <w:rPr>
          <w:rFonts w:hint="eastAsia"/>
          <w:highlight w:val="none"/>
        </w:rPr>
        <w:t>应分别为不同业务子系统设置单独的子网或网段，并统一部署防火墙，以进行访问控制、入侵防范、网络设备防护、边界完整性检查和安全审计等。</w:t>
      </w:r>
    </w:p>
    <w:p w14:paraId="1BDCB420">
      <w:pPr>
        <w:pStyle w:val="174"/>
        <w:rPr>
          <w:highlight w:val="none"/>
        </w:rPr>
      </w:pPr>
      <w:r>
        <w:rPr>
          <w:rFonts w:hint="eastAsia"/>
          <w:highlight w:val="none"/>
        </w:rPr>
        <w:t>宜安装防恶意代码软件，应及时更新防恶意代码软件版本、恶意代码库。</w:t>
      </w:r>
    </w:p>
    <w:p w14:paraId="7CF6EBA4">
      <w:pPr>
        <w:pStyle w:val="174"/>
        <w:rPr>
          <w:highlight w:val="none"/>
        </w:rPr>
      </w:pPr>
      <w:r>
        <w:rPr>
          <w:rFonts w:hint="eastAsia"/>
          <w:highlight w:val="none"/>
        </w:rPr>
        <w:t>可根据需要为主要网络设备的业务处理能力提供冗余空间。</w:t>
      </w:r>
    </w:p>
    <w:p w14:paraId="27BADF60">
      <w:pPr>
        <w:pStyle w:val="65"/>
        <w:spacing w:before="120" w:after="120"/>
        <w:rPr>
          <w:highlight w:val="none"/>
        </w:rPr>
      </w:pPr>
      <w:r>
        <w:rPr>
          <w:rFonts w:hint="eastAsia"/>
          <w:highlight w:val="none"/>
        </w:rPr>
        <w:t>主机和应用安全</w:t>
      </w:r>
    </w:p>
    <w:p w14:paraId="471835D3">
      <w:pPr>
        <w:pStyle w:val="174"/>
        <w:numPr>
          <w:ilvl w:val="0"/>
          <w:numId w:val="34"/>
        </w:numPr>
        <w:rPr>
          <w:highlight w:val="none"/>
        </w:rPr>
      </w:pPr>
      <w:r>
        <w:rPr>
          <w:rFonts w:hint="eastAsia"/>
          <w:highlight w:val="none"/>
        </w:rPr>
        <w:t>宜对使用信息系统的用户进行分级管理，并定期更换用户登录密码。</w:t>
      </w:r>
    </w:p>
    <w:p w14:paraId="06D5B23A">
      <w:pPr>
        <w:pStyle w:val="174"/>
        <w:rPr>
          <w:highlight w:val="none"/>
        </w:rPr>
      </w:pPr>
      <w:r>
        <w:rPr>
          <w:rFonts w:hint="eastAsia"/>
          <w:highlight w:val="none"/>
        </w:rPr>
        <w:t>宜对仓储等关键业务信息每日备份。</w:t>
      </w:r>
    </w:p>
    <w:p w14:paraId="4F2314FD">
      <w:pPr>
        <w:pStyle w:val="174"/>
        <w:rPr>
          <w:highlight w:val="none"/>
        </w:rPr>
      </w:pPr>
      <w:r>
        <w:rPr>
          <w:rFonts w:hint="eastAsia"/>
          <w:highlight w:val="none"/>
        </w:rPr>
        <w:t>宜定期对业务管理系统等重要业务服务器进行巡检，包括监视服务器的CPU、硬盘、内存、网络等。</w:t>
      </w:r>
    </w:p>
    <w:p w14:paraId="0FE9176A">
      <w:pPr>
        <w:pStyle w:val="105"/>
        <w:spacing w:before="120" w:after="120"/>
        <w:rPr>
          <w:highlight w:val="none"/>
        </w:rPr>
      </w:pPr>
      <w:bookmarkStart w:id="146" w:name="_Toc214901889"/>
      <w:bookmarkStart w:id="147" w:name="_Toc7192"/>
      <w:r>
        <w:rPr>
          <w:rFonts w:hint="eastAsia"/>
          <w:highlight w:val="none"/>
        </w:rPr>
        <w:t>运维保障</w:t>
      </w:r>
      <w:bookmarkEnd w:id="146"/>
      <w:bookmarkEnd w:id="147"/>
    </w:p>
    <w:p w14:paraId="7C33E764">
      <w:pPr>
        <w:pStyle w:val="56"/>
        <w:ind w:firstLine="420"/>
        <w:rPr>
          <w:highlight w:val="none"/>
        </w:rPr>
      </w:pPr>
      <w:r>
        <w:rPr>
          <w:rFonts w:hint="eastAsia"/>
          <w:highlight w:val="none"/>
        </w:rPr>
        <w:t>各级农资业务管理部门和各农资企业，应加强农资仓储信息系统的全生命周期管理,确保管理信息系统稳定运行并发挥作用。</w:t>
      </w:r>
    </w:p>
    <w:p w14:paraId="6E40D5C5">
      <w:pPr>
        <w:pStyle w:val="174"/>
        <w:numPr>
          <w:ilvl w:val="0"/>
          <w:numId w:val="0"/>
        </w:numPr>
        <w:ind w:left="851" w:hanging="426"/>
        <w:rPr>
          <w:highlight w:val="none"/>
        </w:rPr>
      </w:pPr>
    </w:p>
    <w:p w14:paraId="4855DCE1">
      <w:pPr>
        <w:pStyle w:val="174"/>
        <w:numPr>
          <w:ilvl w:val="0"/>
          <w:numId w:val="0"/>
        </w:numPr>
        <w:ind w:left="851" w:hanging="426"/>
        <w:rPr>
          <w:highlight w:val="none"/>
        </w:rPr>
        <w:sectPr>
          <w:pgSz w:w="11906" w:h="16838"/>
          <w:pgMar w:top="1928" w:right="1134" w:bottom="1134" w:left="1134" w:header="1418" w:footer="1134" w:gutter="284"/>
          <w:pgNumType w:start="1"/>
          <w:cols w:space="425" w:num="1"/>
          <w:formProt w:val="0"/>
          <w:docGrid w:linePitch="312" w:charSpace="0"/>
        </w:sectPr>
      </w:pPr>
    </w:p>
    <w:bookmarkEnd w:id="27"/>
    <w:p w14:paraId="21077663">
      <w:pPr>
        <w:pStyle w:val="198"/>
        <w:rPr>
          <w:rFonts w:hint="eastAsia"/>
          <w:highlight w:val="none"/>
        </w:rPr>
      </w:pPr>
      <w:bookmarkStart w:id="148" w:name="BookMark5"/>
    </w:p>
    <w:p w14:paraId="365574DB">
      <w:pPr>
        <w:pStyle w:val="199"/>
        <w:rPr>
          <w:highlight w:val="none"/>
        </w:rPr>
      </w:pPr>
    </w:p>
    <w:p w14:paraId="0770B494">
      <w:pPr>
        <w:pStyle w:val="76"/>
        <w:spacing w:after="120"/>
        <w:rPr>
          <w:highlight w:val="none"/>
        </w:rPr>
      </w:pPr>
      <w:bookmarkStart w:id="149" w:name="_Toc14274"/>
      <w:r>
        <w:rPr>
          <w:highlight w:val="none"/>
        </w:rPr>
        <w:br w:type="textWrapping"/>
      </w:r>
      <w:r>
        <w:rPr>
          <w:rFonts w:hint="eastAsia"/>
          <w:highlight w:val="none"/>
        </w:rPr>
        <w:t>（规范性）</w:t>
      </w:r>
    </w:p>
    <w:p w14:paraId="09CC3C07">
      <w:pPr>
        <w:pStyle w:val="76"/>
        <w:numPr>
          <w:ilvl w:val="0"/>
          <w:numId w:val="0"/>
        </w:numPr>
        <w:spacing w:after="120"/>
        <w:jc w:val="both"/>
        <w:rPr>
          <w:highlight w:val="none"/>
        </w:rPr>
      </w:pPr>
      <w:r>
        <w:rPr>
          <w:highlight w:val="none"/>
        </w:rPr>
        <w:br w:type="textWrapping"/>
      </w:r>
      <w:bookmarkStart w:id="150" w:name="_Hlk217055047"/>
      <w:r>
        <w:rPr>
          <w:rFonts w:hint="eastAsia"/>
          <w:highlight w:val="none"/>
        </w:rPr>
        <w:t>A.1 视频监控设备在线率</w:t>
      </w:r>
      <w:bookmarkEnd w:id="149"/>
      <w:bookmarkEnd w:id="150"/>
    </w:p>
    <w:p w14:paraId="7B279D19">
      <w:pPr>
        <w:pStyle w:val="56"/>
        <w:ind w:firstLine="420"/>
        <w:rPr>
          <w:highlight w:val="none"/>
        </w:rPr>
      </w:pPr>
    </w:p>
    <w:p w14:paraId="39C2D001">
      <w:pPr>
        <w:pStyle w:val="56"/>
        <w:ind w:firstLine="420"/>
        <w:rPr>
          <w:highlight w:val="none"/>
        </w:rPr>
      </w:pPr>
      <w:r>
        <w:rPr>
          <w:rFonts w:hint="eastAsia"/>
          <w:highlight w:val="none"/>
        </w:rPr>
        <w:t>视频监控设备的在线总时长占视频设备监控总时长的百分比。按公式（A</w:t>
      </w:r>
      <w:r>
        <w:rPr>
          <w:highlight w:val="none"/>
        </w:rPr>
        <w:t>.</w:t>
      </w:r>
      <w:r>
        <w:rPr>
          <w:highlight w:val="none"/>
        </w:rPr>
        <w:fldChar w:fldCharType="begin"/>
      </w:r>
      <w:r>
        <w:rPr>
          <w:highlight w:val="none"/>
        </w:rPr>
        <w:instrText xml:space="preserve"> seq fulu_equation_134106076329883376 </w:instrText>
      </w:r>
      <w:r>
        <w:rPr>
          <w:highlight w:val="none"/>
        </w:rPr>
        <w:fldChar w:fldCharType="separate"/>
      </w:r>
      <w:r>
        <w:rPr>
          <w:rFonts w:hint="eastAsia"/>
          <w:highlight w:val="none"/>
        </w:rPr>
        <w:t>1</w:t>
      </w:r>
      <w:r>
        <w:rPr>
          <w:highlight w:val="none"/>
        </w:rPr>
        <w:fldChar w:fldCharType="end"/>
      </w:r>
      <w:r>
        <w:rPr>
          <w:rFonts w:hint="eastAsia"/>
          <w:highlight w:val="none"/>
        </w:rPr>
        <w:t>）计算：</w:t>
      </w:r>
    </w:p>
    <w:p w14:paraId="01B27D06">
      <w:pPr>
        <w:pStyle w:val="56"/>
        <w:ind w:firstLine="420"/>
        <w:jc w:val="center"/>
        <w:rPr>
          <w:highlight w:val="none"/>
        </w:rPr>
      </w:pPr>
      <w:r>
        <w:rPr>
          <w:rFonts w:hint="eastAsia"/>
          <w:highlight w:val="none"/>
        </w:rPr>
        <w:t>ORV=（n*d*24*60-odt）/（n*d*24*60）*100%           (A.1)</w:t>
      </w:r>
    </w:p>
    <w:p w14:paraId="37730DAC">
      <w:pPr>
        <w:pStyle w:val="56"/>
        <w:ind w:firstLine="420"/>
        <w:rPr>
          <w:highlight w:val="none"/>
        </w:rPr>
      </w:pPr>
      <w:r>
        <w:rPr>
          <w:rFonts w:hint="eastAsia"/>
          <w:highlight w:val="none"/>
        </w:rPr>
        <w:t>式中：</w:t>
      </w:r>
    </w:p>
    <w:p w14:paraId="53E045B2">
      <w:pPr>
        <w:pStyle w:val="56"/>
        <w:ind w:firstLine="420"/>
        <w:rPr>
          <w:highlight w:val="none"/>
        </w:rPr>
      </w:pPr>
      <w:r>
        <w:rPr>
          <w:rFonts w:hint="eastAsia"/>
          <w:highlight w:val="none"/>
        </w:rPr>
        <w:t>ORV——视频监控设备在线率；</w:t>
      </w:r>
    </w:p>
    <w:p w14:paraId="5DDE8FB6">
      <w:pPr>
        <w:pStyle w:val="56"/>
        <w:ind w:firstLine="420"/>
        <w:rPr>
          <w:highlight w:val="none"/>
        </w:rPr>
      </w:pPr>
      <w:r>
        <w:rPr>
          <w:rFonts w:hint="eastAsia"/>
          <w:highlight w:val="none"/>
        </w:rPr>
        <w:t>n——视频监控设备数；</w:t>
      </w:r>
    </w:p>
    <w:p w14:paraId="3E3C0EFC">
      <w:pPr>
        <w:pStyle w:val="56"/>
        <w:ind w:firstLine="420"/>
        <w:rPr>
          <w:highlight w:val="none"/>
        </w:rPr>
      </w:pPr>
      <w:r>
        <w:rPr>
          <w:rFonts w:hint="eastAsia"/>
          <w:highlight w:val="none"/>
        </w:rPr>
        <w:t>D——每月天数；</w:t>
      </w:r>
    </w:p>
    <w:p w14:paraId="2117B988">
      <w:pPr>
        <w:pStyle w:val="56"/>
        <w:ind w:firstLine="420"/>
        <w:rPr>
          <w:highlight w:val="none"/>
        </w:rPr>
      </w:pPr>
      <w:r>
        <w:rPr>
          <w:rFonts w:hint="eastAsia"/>
          <w:highlight w:val="none"/>
        </w:rPr>
        <w:t>odt——设备离线总时长。</w:t>
      </w:r>
    </w:p>
    <w:bookmarkEnd w:id="148"/>
    <w:p w14:paraId="26356409">
      <w:pPr>
        <w:pStyle w:val="56"/>
        <w:ind w:firstLine="420"/>
        <w:rPr>
          <w:highlight w:val="none"/>
        </w:rPr>
      </w:pPr>
      <w:bookmarkStart w:id="151" w:name="BookMark6"/>
    </w:p>
    <w:p w14:paraId="694B67A3">
      <w:pPr>
        <w:pStyle w:val="56"/>
        <w:ind w:firstLine="420"/>
        <w:rPr>
          <w:highlight w:val="none"/>
        </w:rPr>
        <w:sectPr>
          <w:pgSz w:w="11906" w:h="16838"/>
          <w:pgMar w:top="1928" w:right="1134" w:bottom="1134" w:left="1134" w:header="1418" w:footer="1134" w:gutter="284"/>
          <w:cols w:space="425" w:num="1"/>
          <w:formProt w:val="0"/>
          <w:docGrid w:linePitch="312" w:charSpace="0"/>
        </w:sectPr>
      </w:pPr>
    </w:p>
    <w:p w14:paraId="0CD3C52A">
      <w:pPr>
        <w:pStyle w:val="63"/>
        <w:spacing w:after="120"/>
        <w:rPr>
          <w:highlight w:val="none"/>
        </w:rPr>
      </w:pPr>
      <w:bookmarkStart w:id="152" w:name="_Toc214292423"/>
      <w:bookmarkStart w:id="153" w:name="_Toc31557"/>
      <w:bookmarkStart w:id="154" w:name="_Toc214901890"/>
      <w:r>
        <w:rPr>
          <w:rFonts w:hint="eastAsia"/>
          <w:spacing w:val="105"/>
          <w:highlight w:val="none"/>
        </w:rPr>
        <w:t>参考文</w:t>
      </w:r>
      <w:r>
        <w:rPr>
          <w:rFonts w:hint="eastAsia"/>
          <w:highlight w:val="none"/>
        </w:rPr>
        <w:t>献</w:t>
      </w:r>
      <w:bookmarkEnd w:id="152"/>
      <w:bookmarkEnd w:id="153"/>
      <w:bookmarkEnd w:id="154"/>
    </w:p>
    <w:p w14:paraId="333F93C8">
      <w:pPr>
        <w:pStyle w:val="56"/>
        <w:ind w:firstLine="420"/>
        <w:rPr>
          <w:highlight w:val="none"/>
        </w:rPr>
      </w:pPr>
      <w:r>
        <w:rPr>
          <w:rFonts w:hint="eastAsia"/>
          <w:highlight w:val="none"/>
        </w:rPr>
        <w:t>[1]《中华人民共和国国民经济和社会发展第十五个五年规划纲要</w:t>
      </w:r>
    </w:p>
    <w:p w14:paraId="291529FD">
      <w:pPr>
        <w:pStyle w:val="56"/>
        <w:ind w:firstLine="420"/>
        <w:rPr>
          <w:highlight w:val="none"/>
        </w:rPr>
      </w:pPr>
      <w:r>
        <w:rPr>
          <w:rFonts w:hint="eastAsia"/>
          <w:highlight w:val="none"/>
        </w:rPr>
        <w:t>[2]《国家信息化发展战略纲要》</w:t>
      </w:r>
    </w:p>
    <w:p w14:paraId="2BF88995">
      <w:pPr>
        <w:pStyle w:val="56"/>
        <w:ind w:firstLine="420"/>
        <w:rPr>
          <w:highlight w:val="none"/>
        </w:rPr>
      </w:pPr>
      <w:r>
        <w:rPr>
          <w:rFonts w:hint="eastAsia"/>
          <w:highlight w:val="none"/>
        </w:rPr>
        <w:t>[3]《国家化肥商业储备管理办法》</w:t>
      </w:r>
    </w:p>
    <w:p w14:paraId="78C2D538">
      <w:pPr>
        <w:pStyle w:val="56"/>
        <w:ind w:firstLine="420"/>
      </w:pPr>
      <w:r>
        <w:rPr>
          <w:rFonts w:hint="eastAsia"/>
          <w:highlight w:val="none"/>
        </w:rPr>
        <w:t>[4]《中华全国供销合作总社关于加强农资经营网络体系建设的</w:t>
      </w:r>
      <w:r>
        <w:rPr>
          <w:rFonts w:hint="eastAsia"/>
        </w:rPr>
        <w:t>指导意见》（供销农棉〔2023〕22号）</w:t>
      </w:r>
    </w:p>
    <w:p w14:paraId="657AB91B">
      <w:pPr>
        <w:pStyle w:val="56"/>
        <w:ind w:firstLine="420"/>
      </w:pPr>
      <w:r>
        <w:rPr>
          <w:rFonts w:hint="eastAsia"/>
        </w:rPr>
        <w:t>[5]《全国供销合作社农资网络体系建设专项规划（2024—2028年）》（供销农棉〔2024〕3号）</w:t>
      </w:r>
    </w:p>
    <w:p w14:paraId="301C3313">
      <w:pPr>
        <w:pStyle w:val="56"/>
        <w:ind w:firstLine="420"/>
      </w:pPr>
      <w:r>
        <w:rPr>
          <w:rFonts w:hint="eastAsia"/>
        </w:rPr>
        <w:t>[6]《关于印发国务院部门“互联网+监管”系统建设方案要点的通知》（国办电政函〔2019〕57号）</w:t>
      </w:r>
    </w:p>
    <w:p w14:paraId="44E039D1">
      <w:pPr>
        <w:pStyle w:val="56"/>
        <w:ind w:firstLine="420"/>
      </w:pPr>
      <w:r>
        <w:rPr>
          <w:rFonts w:hint="eastAsia"/>
        </w:rPr>
        <w:t>[7]《关于印发&lt;202</w:t>
      </w:r>
      <w:r>
        <w:t>6</w:t>
      </w:r>
      <w:r>
        <w:rPr>
          <w:rFonts w:hint="eastAsia"/>
        </w:rPr>
        <w:t>年全国农资打假和监管工作要点&gt;的通知》</w:t>
      </w:r>
    </w:p>
    <w:p w14:paraId="6916DF90">
      <w:pPr>
        <w:pStyle w:val="56"/>
        <w:ind w:firstLine="420"/>
      </w:pPr>
    </w:p>
    <w:bookmarkEnd w:id="151"/>
    <w:p w14:paraId="2D8B92F2">
      <w:pPr>
        <w:pStyle w:val="56"/>
        <w:ind w:firstLine="420"/>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A1AA1">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EAE30">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DB1F0">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80FE3">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7CDAE">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5CE5B">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D28D8">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514F4">
    <w:pPr>
      <w:pStyle w:val="61"/>
      <w:rPr>
        <w:rFonts w:hint="eastAsia"/>
      </w:rPr>
    </w:pPr>
    <w:r>
      <w:fldChar w:fldCharType="begin"/>
    </w:r>
    <w:r>
      <w:instrText xml:space="preserve"> STYLEREF  标准文件_文件编号  \* MERGEFORMAT </w:instrText>
    </w:r>
    <w:r>
      <w:fldChar w:fldCharType="separate"/>
    </w:r>
    <w:r>
      <w:t>XX/T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08638">
    <w:pPr>
      <w:pStyle w:val="18"/>
      <w:jc w:val="right"/>
    </w:pPr>
    <w:r>
      <w:fldChar w:fldCharType="begin"/>
    </w:r>
    <w:r>
      <w:instrText xml:space="preserve"> STYLEREF  标准文件_文件编号  \* MERGEFORMAT </w:instrText>
    </w:r>
    <w:r>
      <w:fldChar w:fldCharType="separate"/>
    </w:r>
    <w:r>
      <w:t>XX/T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426"/>
        </w:tabs>
        <w:ind w:left="426"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283"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attachedTemplate r:id="rId1"/>
  <w:documentProtection w:edit="forms" w:enforcement="1" w:cryptProviderType="rsaAES" w:cryptAlgorithmClass="hash" w:cryptAlgorithmType="typeAny" w:cryptAlgorithmSid="14" w:cryptSpinCount="100000" w:hash="CzJ/WnDjfHbW/mgyC7ydmY+anglVKGjpOFO8jvwulV53ZECPjZuKgnVGeCp3QvFpM/jbe9ueQqDVngl95p8uMA==" w:salt="kNQ+w88eAz+0WaoabBsHtQ=="/>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BC"/>
    <w:rsid w:val="0000040A"/>
    <w:rsid w:val="00000A94"/>
    <w:rsid w:val="00001972"/>
    <w:rsid w:val="00001D9A"/>
    <w:rsid w:val="00007B3A"/>
    <w:rsid w:val="000107E0"/>
    <w:rsid w:val="00011FDE"/>
    <w:rsid w:val="00012FFD"/>
    <w:rsid w:val="00014162"/>
    <w:rsid w:val="00014340"/>
    <w:rsid w:val="00016A9C"/>
    <w:rsid w:val="00020491"/>
    <w:rsid w:val="00022184"/>
    <w:rsid w:val="00022762"/>
    <w:rsid w:val="000238E0"/>
    <w:rsid w:val="000249DB"/>
    <w:rsid w:val="0002595E"/>
    <w:rsid w:val="000303C3"/>
    <w:rsid w:val="00032C2F"/>
    <w:rsid w:val="000331D3"/>
    <w:rsid w:val="000346A5"/>
    <w:rsid w:val="000359C3"/>
    <w:rsid w:val="00035A7D"/>
    <w:rsid w:val="000410E8"/>
    <w:rsid w:val="0004249A"/>
    <w:rsid w:val="00043282"/>
    <w:rsid w:val="0004407D"/>
    <w:rsid w:val="00044286"/>
    <w:rsid w:val="00047F28"/>
    <w:rsid w:val="00047F8C"/>
    <w:rsid w:val="000503AA"/>
    <w:rsid w:val="000506A1"/>
    <w:rsid w:val="000515DD"/>
    <w:rsid w:val="0005265A"/>
    <w:rsid w:val="000539DD"/>
    <w:rsid w:val="00053BD3"/>
    <w:rsid w:val="000556ED"/>
    <w:rsid w:val="00055FE2"/>
    <w:rsid w:val="0005616F"/>
    <w:rsid w:val="00056D79"/>
    <w:rsid w:val="00060C2E"/>
    <w:rsid w:val="00061033"/>
    <w:rsid w:val="000619E9"/>
    <w:rsid w:val="000622D4"/>
    <w:rsid w:val="0006357D"/>
    <w:rsid w:val="00067F1E"/>
    <w:rsid w:val="00070642"/>
    <w:rsid w:val="00071CC0"/>
    <w:rsid w:val="00073C8C"/>
    <w:rsid w:val="00073CDB"/>
    <w:rsid w:val="00077B64"/>
    <w:rsid w:val="00080A1C"/>
    <w:rsid w:val="00082317"/>
    <w:rsid w:val="00083D2C"/>
    <w:rsid w:val="00083F09"/>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53E9"/>
    <w:rsid w:val="00125C09"/>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57C08"/>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416A"/>
    <w:rsid w:val="001852C9"/>
    <w:rsid w:val="00185F24"/>
    <w:rsid w:val="00190087"/>
    <w:rsid w:val="001913C4"/>
    <w:rsid w:val="0019324E"/>
    <w:rsid w:val="0019348F"/>
    <w:rsid w:val="00193A07"/>
    <w:rsid w:val="00194C95"/>
    <w:rsid w:val="00195311"/>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0AB8"/>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4596"/>
    <w:rsid w:val="002253A1"/>
    <w:rsid w:val="00225C68"/>
    <w:rsid w:val="00225CF8"/>
    <w:rsid w:val="0022718D"/>
    <w:rsid w:val="0022794E"/>
    <w:rsid w:val="00233D64"/>
    <w:rsid w:val="00234784"/>
    <w:rsid w:val="0023482A"/>
    <w:rsid w:val="002359CB"/>
    <w:rsid w:val="00243540"/>
    <w:rsid w:val="00243C27"/>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1B77"/>
    <w:rsid w:val="00272B08"/>
    <w:rsid w:val="00281BB8"/>
    <w:rsid w:val="00281E9E"/>
    <w:rsid w:val="00285170"/>
    <w:rsid w:val="00285361"/>
    <w:rsid w:val="00292D60"/>
    <w:rsid w:val="00294D34"/>
    <w:rsid w:val="00294DC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0F73"/>
    <w:rsid w:val="002D42B5"/>
    <w:rsid w:val="002D4D1A"/>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25C0A"/>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55BD"/>
    <w:rsid w:val="003872FC"/>
    <w:rsid w:val="00387ADC"/>
    <w:rsid w:val="00390020"/>
    <w:rsid w:val="003903D6"/>
    <w:rsid w:val="00390EE6"/>
    <w:rsid w:val="0039118F"/>
    <w:rsid w:val="00392AD7"/>
    <w:rsid w:val="003938D9"/>
    <w:rsid w:val="00394376"/>
    <w:rsid w:val="003943FF"/>
    <w:rsid w:val="003974EB"/>
    <w:rsid w:val="00397CC5"/>
    <w:rsid w:val="003A0CA2"/>
    <w:rsid w:val="003A1582"/>
    <w:rsid w:val="003A4077"/>
    <w:rsid w:val="003B09AD"/>
    <w:rsid w:val="003B0BD9"/>
    <w:rsid w:val="003B1F18"/>
    <w:rsid w:val="003B5BF0"/>
    <w:rsid w:val="003B60BF"/>
    <w:rsid w:val="003B6BE3"/>
    <w:rsid w:val="003C010C"/>
    <w:rsid w:val="003C0A6C"/>
    <w:rsid w:val="003C2859"/>
    <w:rsid w:val="003C5A43"/>
    <w:rsid w:val="003C70D1"/>
    <w:rsid w:val="003D0519"/>
    <w:rsid w:val="003D0FF6"/>
    <w:rsid w:val="003D262C"/>
    <w:rsid w:val="003D5661"/>
    <w:rsid w:val="003D6D61"/>
    <w:rsid w:val="003E091D"/>
    <w:rsid w:val="003E1C53"/>
    <w:rsid w:val="003E2A69"/>
    <w:rsid w:val="003E2D49"/>
    <w:rsid w:val="003E2FD4"/>
    <w:rsid w:val="003E49F6"/>
    <w:rsid w:val="003F0841"/>
    <w:rsid w:val="003F23D3"/>
    <w:rsid w:val="003F3F08"/>
    <w:rsid w:val="003F49F1"/>
    <w:rsid w:val="003F6272"/>
    <w:rsid w:val="003F67F0"/>
    <w:rsid w:val="003F72A3"/>
    <w:rsid w:val="00400E72"/>
    <w:rsid w:val="00401400"/>
    <w:rsid w:val="004047D2"/>
    <w:rsid w:val="00404869"/>
    <w:rsid w:val="00405884"/>
    <w:rsid w:val="00407D39"/>
    <w:rsid w:val="0041477A"/>
    <w:rsid w:val="004167A3"/>
    <w:rsid w:val="00424AA0"/>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028F"/>
    <w:rsid w:val="004A087C"/>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48DC"/>
    <w:rsid w:val="00586630"/>
    <w:rsid w:val="00587ADD"/>
    <w:rsid w:val="00587B15"/>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5F40DF"/>
    <w:rsid w:val="005F4442"/>
    <w:rsid w:val="006015CE"/>
    <w:rsid w:val="00604784"/>
    <w:rsid w:val="00606419"/>
    <w:rsid w:val="00607D29"/>
    <w:rsid w:val="00612952"/>
    <w:rsid w:val="006142E6"/>
    <w:rsid w:val="00614CC1"/>
    <w:rsid w:val="00614D98"/>
    <w:rsid w:val="00615A9D"/>
    <w:rsid w:val="0061738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66949"/>
    <w:rsid w:val="00672060"/>
    <w:rsid w:val="00672BFD"/>
    <w:rsid w:val="006770F4"/>
    <w:rsid w:val="00677A84"/>
    <w:rsid w:val="0068026D"/>
    <w:rsid w:val="00680A27"/>
    <w:rsid w:val="006816A4"/>
    <w:rsid w:val="006819B8"/>
    <w:rsid w:val="00681B66"/>
    <w:rsid w:val="006840A6"/>
    <w:rsid w:val="006850CD"/>
    <w:rsid w:val="00685AAB"/>
    <w:rsid w:val="006970FD"/>
    <w:rsid w:val="006A07AA"/>
    <w:rsid w:val="006A25E5"/>
    <w:rsid w:val="006A2B46"/>
    <w:rsid w:val="006A336D"/>
    <w:rsid w:val="006A37B9"/>
    <w:rsid w:val="006B2672"/>
    <w:rsid w:val="006B2F0F"/>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E3BBC"/>
    <w:rsid w:val="006E70F1"/>
    <w:rsid w:val="006F03A8"/>
    <w:rsid w:val="006F126C"/>
    <w:rsid w:val="006F2ACA"/>
    <w:rsid w:val="006F2ADC"/>
    <w:rsid w:val="006F2BFE"/>
    <w:rsid w:val="006F31E9"/>
    <w:rsid w:val="006F56E5"/>
    <w:rsid w:val="006F6284"/>
    <w:rsid w:val="007002C5"/>
    <w:rsid w:val="0070083D"/>
    <w:rsid w:val="0070348B"/>
    <w:rsid w:val="00704387"/>
    <w:rsid w:val="00707669"/>
    <w:rsid w:val="00711CBA"/>
    <w:rsid w:val="00711FB5"/>
    <w:rsid w:val="00712A01"/>
    <w:rsid w:val="00714986"/>
    <w:rsid w:val="00714F58"/>
    <w:rsid w:val="00722FBF"/>
    <w:rsid w:val="00722FC2"/>
    <w:rsid w:val="00725949"/>
    <w:rsid w:val="00727FA2"/>
    <w:rsid w:val="007322D9"/>
    <w:rsid w:val="00732BC0"/>
    <w:rsid w:val="00732F4E"/>
    <w:rsid w:val="0073720F"/>
    <w:rsid w:val="00737796"/>
    <w:rsid w:val="00741058"/>
    <w:rsid w:val="0074165C"/>
    <w:rsid w:val="00742C35"/>
    <w:rsid w:val="007432CA"/>
    <w:rsid w:val="007439EB"/>
    <w:rsid w:val="00743CB4"/>
    <w:rsid w:val="00743F0A"/>
    <w:rsid w:val="007444E8"/>
    <w:rsid w:val="0074548E"/>
    <w:rsid w:val="00745773"/>
    <w:rsid w:val="00746800"/>
    <w:rsid w:val="00747CF0"/>
    <w:rsid w:val="007501A8"/>
    <w:rsid w:val="0075043E"/>
    <w:rsid w:val="00750EE1"/>
    <w:rsid w:val="00752B4D"/>
    <w:rsid w:val="00755402"/>
    <w:rsid w:val="00756B26"/>
    <w:rsid w:val="00756EDF"/>
    <w:rsid w:val="00765271"/>
    <w:rsid w:val="00765C43"/>
    <w:rsid w:val="00765EFB"/>
    <w:rsid w:val="007671CA"/>
    <w:rsid w:val="0076744F"/>
    <w:rsid w:val="00767C61"/>
    <w:rsid w:val="0077008A"/>
    <w:rsid w:val="00773C1F"/>
    <w:rsid w:val="00774DA4"/>
    <w:rsid w:val="00776599"/>
    <w:rsid w:val="0078114B"/>
    <w:rsid w:val="00781DD2"/>
    <w:rsid w:val="00783ECF"/>
    <w:rsid w:val="0078413A"/>
    <w:rsid w:val="00784416"/>
    <w:rsid w:val="007959E8"/>
    <w:rsid w:val="00795E9C"/>
    <w:rsid w:val="007A0521"/>
    <w:rsid w:val="007A2E12"/>
    <w:rsid w:val="007A3475"/>
    <w:rsid w:val="007A40B4"/>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C6EFE"/>
    <w:rsid w:val="007D06C4"/>
    <w:rsid w:val="007D1352"/>
    <w:rsid w:val="007D2508"/>
    <w:rsid w:val="007D346A"/>
    <w:rsid w:val="007D48F3"/>
    <w:rsid w:val="007D6518"/>
    <w:rsid w:val="007D76BD"/>
    <w:rsid w:val="007E0BF1"/>
    <w:rsid w:val="007E0D02"/>
    <w:rsid w:val="007E258B"/>
    <w:rsid w:val="007F0ED8"/>
    <w:rsid w:val="007F0F63"/>
    <w:rsid w:val="007F3748"/>
    <w:rsid w:val="007F75CE"/>
    <w:rsid w:val="00800697"/>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723"/>
    <w:rsid w:val="00823A9F"/>
    <w:rsid w:val="00823C85"/>
    <w:rsid w:val="00825138"/>
    <w:rsid w:val="008269DD"/>
    <w:rsid w:val="00830621"/>
    <w:rsid w:val="0083348C"/>
    <w:rsid w:val="00836E05"/>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408"/>
    <w:rsid w:val="008C1797"/>
    <w:rsid w:val="008C219C"/>
    <w:rsid w:val="008C475E"/>
    <w:rsid w:val="008C4767"/>
    <w:rsid w:val="008C619A"/>
    <w:rsid w:val="008D0CE8"/>
    <w:rsid w:val="008D241B"/>
    <w:rsid w:val="008D2D1D"/>
    <w:rsid w:val="008D453D"/>
    <w:rsid w:val="008D53AD"/>
    <w:rsid w:val="008D562B"/>
    <w:rsid w:val="008D5733"/>
    <w:rsid w:val="008D622B"/>
    <w:rsid w:val="008D666C"/>
    <w:rsid w:val="008D7B54"/>
    <w:rsid w:val="008E0C9D"/>
    <w:rsid w:val="008E1325"/>
    <w:rsid w:val="008E1648"/>
    <w:rsid w:val="008E1B3E"/>
    <w:rsid w:val="008E2319"/>
    <w:rsid w:val="008E4BB6"/>
    <w:rsid w:val="008E5518"/>
    <w:rsid w:val="008E6A84"/>
    <w:rsid w:val="008F0CDC"/>
    <w:rsid w:val="008F17A3"/>
    <w:rsid w:val="008F1ED3"/>
    <w:rsid w:val="008F3105"/>
    <w:rsid w:val="008F4C29"/>
    <w:rsid w:val="008F58DC"/>
    <w:rsid w:val="008F70BD"/>
    <w:rsid w:val="008F788F"/>
    <w:rsid w:val="008F7EA2"/>
    <w:rsid w:val="00902722"/>
    <w:rsid w:val="009027BC"/>
    <w:rsid w:val="009062E6"/>
    <w:rsid w:val="00911AF6"/>
    <w:rsid w:val="00911BE5"/>
    <w:rsid w:val="00913CA9"/>
    <w:rsid w:val="009145AE"/>
    <w:rsid w:val="009146CE"/>
    <w:rsid w:val="00914728"/>
    <w:rsid w:val="00914CA7"/>
    <w:rsid w:val="00915C3E"/>
    <w:rsid w:val="009161A8"/>
    <w:rsid w:val="009222F6"/>
    <w:rsid w:val="009245F5"/>
    <w:rsid w:val="009249EC"/>
    <w:rsid w:val="009273B3"/>
    <w:rsid w:val="009305B5"/>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85350"/>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47FA"/>
    <w:rsid w:val="009D50D2"/>
    <w:rsid w:val="009D6BCA"/>
    <w:rsid w:val="009D72B9"/>
    <w:rsid w:val="009D791F"/>
    <w:rsid w:val="009E0F62"/>
    <w:rsid w:val="009E1848"/>
    <w:rsid w:val="009E4A58"/>
    <w:rsid w:val="009E5A2D"/>
    <w:rsid w:val="009E5AB2"/>
    <w:rsid w:val="009E6219"/>
    <w:rsid w:val="009E793E"/>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2FF9"/>
    <w:rsid w:val="00A3367B"/>
    <w:rsid w:val="00A3597D"/>
    <w:rsid w:val="00A4006C"/>
    <w:rsid w:val="00A40091"/>
    <w:rsid w:val="00A4030F"/>
    <w:rsid w:val="00A41C79"/>
    <w:rsid w:val="00A41CB5"/>
    <w:rsid w:val="00A425C6"/>
    <w:rsid w:val="00A42CDF"/>
    <w:rsid w:val="00A4307B"/>
    <w:rsid w:val="00A4452E"/>
    <w:rsid w:val="00A4472C"/>
    <w:rsid w:val="00A44E69"/>
    <w:rsid w:val="00A4661E"/>
    <w:rsid w:val="00A55BD6"/>
    <w:rsid w:val="00A55D50"/>
    <w:rsid w:val="00A57142"/>
    <w:rsid w:val="00A61D48"/>
    <w:rsid w:val="00A648CD"/>
    <w:rsid w:val="00A6537A"/>
    <w:rsid w:val="00A67866"/>
    <w:rsid w:val="00A70B07"/>
    <w:rsid w:val="00A723F8"/>
    <w:rsid w:val="00A77CCB"/>
    <w:rsid w:val="00A824F5"/>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35C8"/>
    <w:rsid w:val="00B65149"/>
    <w:rsid w:val="00B66567"/>
    <w:rsid w:val="00B66F52"/>
    <w:rsid w:val="00B66FE5"/>
    <w:rsid w:val="00B72880"/>
    <w:rsid w:val="00B758BF"/>
    <w:rsid w:val="00B80337"/>
    <w:rsid w:val="00B825EB"/>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C1A4E"/>
    <w:rsid w:val="00BC5DC7"/>
    <w:rsid w:val="00BC6B41"/>
    <w:rsid w:val="00BC6B8B"/>
    <w:rsid w:val="00BC73D8"/>
    <w:rsid w:val="00BD13FE"/>
    <w:rsid w:val="00BD52D7"/>
    <w:rsid w:val="00BD5AD2"/>
    <w:rsid w:val="00BE22F3"/>
    <w:rsid w:val="00BE5B52"/>
    <w:rsid w:val="00BE7B8D"/>
    <w:rsid w:val="00BF0993"/>
    <w:rsid w:val="00BF10A9"/>
    <w:rsid w:val="00BF1703"/>
    <w:rsid w:val="00BF231C"/>
    <w:rsid w:val="00BF4360"/>
    <w:rsid w:val="00BF51E5"/>
    <w:rsid w:val="00BF74A6"/>
    <w:rsid w:val="00BF7718"/>
    <w:rsid w:val="00C013AD"/>
    <w:rsid w:val="00C020FB"/>
    <w:rsid w:val="00C04904"/>
    <w:rsid w:val="00C056B3"/>
    <w:rsid w:val="00C103E5"/>
    <w:rsid w:val="00C11214"/>
    <w:rsid w:val="00C13319"/>
    <w:rsid w:val="00C13EE9"/>
    <w:rsid w:val="00C21540"/>
    <w:rsid w:val="00C21906"/>
    <w:rsid w:val="00C21BFA"/>
    <w:rsid w:val="00C21E3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61B"/>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0C97"/>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2C07"/>
    <w:rsid w:val="00CE30EA"/>
    <w:rsid w:val="00CF048A"/>
    <w:rsid w:val="00CF155A"/>
    <w:rsid w:val="00CF2947"/>
    <w:rsid w:val="00CF4E76"/>
    <w:rsid w:val="00CF4ECD"/>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5E41"/>
    <w:rsid w:val="00D16215"/>
    <w:rsid w:val="00D20737"/>
    <w:rsid w:val="00D21E81"/>
    <w:rsid w:val="00D223DE"/>
    <w:rsid w:val="00D25E37"/>
    <w:rsid w:val="00D2661A"/>
    <w:rsid w:val="00D27582"/>
    <w:rsid w:val="00D32719"/>
    <w:rsid w:val="00D33333"/>
    <w:rsid w:val="00D34CB7"/>
    <w:rsid w:val="00D352A2"/>
    <w:rsid w:val="00D4162B"/>
    <w:rsid w:val="00D4514F"/>
    <w:rsid w:val="00D451E2"/>
    <w:rsid w:val="00D45446"/>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3C19"/>
    <w:rsid w:val="00DA64F8"/>
    <w:rsid w:val="00DA6C15"/>
    <w:rsid w:val="00DB2083"/>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0E"/>
    <w:rsid w:val="00DF1961"/>
    <w:rsid w:val="00DF44DE"/>
    <w:rsid w:val="00DF4A10"/>
    <w:rsid w:val="00DF5EB6"/>
    <w:rsid w:val="00DF7937"/>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64CC"/>
    <w:rsid w:val="00E70388"/>
    <w:rsid w:val="00E704B5"/>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E7D53"/>
    <w:rsid w:val="00EF054A"/>
    <w:rsid w:val="00EF234D"/>
    <w:rsid w:val="00EF3235"/>
    <w:rsid w:val="00EF7E72"/>
    <w:rsid w:val="00F01542"/>
    <w:rsid w:val="00F06D37"/>
    <w:rsid w:val="00F07B9D"/>
    <w:rsid w:val="00F10926"/>
    <w:rsid w:val="00F11586"/>
    <w:rsid w:val="00F1183B"/>
    <w:rsid w:val="00F11C9F"/>
    <w:rsid w:val="00F12263"/>
    <w:rsid w:val="00F1409D"/>
    <w:rsid w:val="00F14214"/>
    <w:rsid w:val="00F157A9"/>
    <w:rsid w:val="00F22DB5"/>
    <w:rsid w:val="00F25BB6"/>
    <w:rsid w:val="00F25C09"/>
    <w:rsid w:val="00F26B7E"/>
    <w:rsid w:val="00F27A3B"/>
    <w:rsid w:val="00F33817"/>
    <w:rsid w:val="00F3447F"/>
    <w:rsid w:val="00F3599D"/>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5B92"/>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AF7222F"/>
    <w:rsid w:val="11C6292A"/>
    <w:rsid w:val="11FE3E97"/>
    <w:rsid w:val="1BBB7BDA"/>
    <w:rsid w:val="1D6032CB"/>
    <w:rsid w:val="20EF07AE"/>
    <w:rsid w:val="22EC31F8"/>
    <w:rsid w:val="242D35BF"/>
    <w:rsid w:val="25DA6EC6"/>
    <w:rsid w:val="2A4346E5"/>
    <w:rsid w:val="31561C16"/>
    <w:rsid w:val="369A7846"/>
    <w:rsid w:val="3C8A4E4F"/>
    <w:rsid w:val="452C4176"/>
    <w:rsid w:val="47013507"/>
    <w:rsid w:val="4A537D26"/>
    <w:rsid w:val="5900349A"/>
    <w:rsid w:val="5BBB5A14"/>
    <w:rsid w:val="66694EAF"/>
    <w:rsid w:val="6B956EDC"/>
    <w:rsid w:val="6D0242BE"/>
    <w:rsid w:val="6FA40449"/>
    <w:rsid w:val="71445760"/>
    <w:rsid w:val="7BDD2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99"/>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99"/>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99"/>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99"/>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basedOn w:val="1"/>
    <w:qFormat/>
    <w:uiPriority w:val="0"/>
    <w:pPr>
      <w:widowControl/>
      <w:tabs>
        <w:tab w:val="center" w:pos="4201"/>
        <w:tab w:val="right" w:leader="dot" w:pos="9298"/>
      </w:tabs>
      <w:autoSpaceDE w:val="0"/>
      <w:autoSpaceDN w:val="0"/>
      <w:adjustRightInd/>
      <w:spacing w:line="240" w:lineRule="auto"/>
      <w:ind w:firstLine="420" w:firstLineChars="200"/>
    </w:pPr>
    <w:rPr>
      <w:rFonts w:ascii="宋体" w:hAnsi="等线" w:eastAsia="等线"/>
    </w:rPr>
  </w:style>
  <w:style w:type="paragraph" w:customStyle="1" w:styleId="231">
    <w:name w:val="正文图标题"/>
    <w:basedOn w:val="1"/>
    <w:next w:val="1"/>
    <w:qFormat/>
    <w:uiPriority w:val="0"/>
    <w:pPr>
      <w:widowControl/>
      <w:tabs>
        <w:tab w:val="left" w:pos="360"/>
      </w:tabs>
      <w:adjustRightInd/>
      <w:spacing w:beforeLines="50" w:afterLines="50" w:line="240" w:lineRule="auto"/>
      <w:jc w:val="center"/>
    </w:pPr>
    <w:rPr>
      <w:rFonts w:ascii="黑体" w:hAnsi="Times New Roman" w:eastAsia="黑体"/>
      <w:kern w:val="0"/>
    </w:rPr>
  </w:style>
  <w:style w:type="paragraph" w:customStyle="1" w:styleId="232">
    <w:name w:val="样式1  正文"/>
    <w:basedOn w:val="1"/>
    <w:qFormat/>
    <w:uiPriority w:val="0"/>
    <w:pPr>
      <w:adjustRightInd/>
      <w:spacing w:line="580" w:lineRule="exact"/>
      <w:ind w:firstLine="200" w:firstLineChars="200"/>
    </w:pPr>
    <w:rPr>
      <w:rFonts w:ascii="Times New Roman" w:hAnsi="Times New Roman"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71C1D36B191426BB02ED1FDE685F98E"/>
        <w:style w:val=""/>
        <w:category>
          <w:name w:val="常规"/>
          <w:gallery w:val="placeholder"/>
        </w:category>
        <w:types>
          <w:type w:val="bbPlcHdr"/>
        </w:types>
        <w:behaviors>
          <w:behavior w:val="content"/>
        </w:behaviors>
        <w:description w:val=""/>
        <w:guid w:val="{AFB3A8AA-834F-48A6-AB30-13B9144841B0}"/>
      </w:docPartPr>
      <w:docPartBody>
        <w:p w14:paraId="05E71FB8">
          <w:pPr>
            <w:pStyle w:val="5"/>
            <w:rPr>
              <w:rFonts w:hint="eastAsia"/>
            </w:rPr>
          </w:pPr>
          <w:r>
            <w:rPr>
              <w:rStyle w:val="4"/>
              <w:rFonts w:hint="eastAsia"/>
            </w:rPr>
            <w:t>单击或点击此处输入文字。</w:t>
          </w:r>
        </w:p>
      </w:docPartBody>
    </w:docPart>
    <w:docPart>
      <w:docPartPr>
        <w:name w:val="E2AC7FF75AC7482F8DAA8D50BC7E384A"/>
        <w:style w:val=""/>
        <w:category>
          <w:name w:val="常规"/>
          <w:gallery w:val="placeholder"/>
        </w:category>
        <w:types>
          <w:type w:val="bbPlcHdr"/>
        </w:types>
        <w:behaviors>
          <w:behavior w:val="content"/>
        </w:behaviors>
        <w:description w:val=""/>
        <w:guid w:val="{4541C962-F413-4C77-9E38-50AD5E9C4378}"/>
      </w:docPartPr>
      <w:docPartBody>
        <w:p w14:paraId="4466EA71">
          <w:pPr>
            <w:pStyle w:val="6"/>
            <w:rPr>
              <w:rFonts w:hint="eastAsia"/>
            </w:rPr>
          </w:pPr>
          <w:r>
            <w:rPr>
              <w:rStyle w:val="4"/>
              <w:rFonts w:hint="eastAsia"/>
            </w:rPr>
            <w:t>选择一项。</w:t>
          </w:r>
        </w:p>
      </w:docPartBody>
    </w:docPart>
    <w:docPart>
      <w:docPartPr>
        <w:name w:val="792608CBDC004C0B8D82597476A0A2FE"/>
        <w:style w:val=""/>
        <w:category>
          <w:name w:val="常规"/>
          <w:gallery w:val="placeholder"/>
        </w:category>
        <w:types>
          <w:type w:val="bbPlcHdr"/>
        </w:types>
        <w:behaviors>
          <w:behavior w:val="content"/>
        </w:behaviors>
        <w:description w:val=""/>
        <w:guid w:val="{71A66115-62E5-47D0-BED7-BBFC1F6AC3FE}"/>
      </w:docPartPr>
      <w:docPartBody>
        <w:p w14:paraId="364941FE">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9C3"/>
    <w:rsid w:val="000263FF"/>
    <w:rsid w:val="00243C27"/>
    <w:rsid w:val="00282E99"/>
    <w:rsid w:val="00323E23"/>
    <w:rsid w:val="003E1D67"/>
    <w:rsid w:val="004269D3"/>
    <w:rsid w:val="004A4255"/>
    <w:rsid w:val="004E3B44"/>
    <w:rsid w:val="005A6BBA"/>
    <w:rsid w:val="00681B66"/>
    <w:rsid w:val="006970FD"/>
    <w:rsid w:val="00714986"/>
    <w:rsid w:val="00784416"/>
    <w:rsid w:val="007C6EFE"/>
    <w:rsid w:val="008E6372"/>
    <w:rsid w:val="00914728"/>
    <w:rsid w:val="009222F6"/>
    <w:rsid w:val="00A454D1"/>
    <w:rsid w:val="00BD13FE"/>
    <w:rsid w:val="00C8061B"/>
    <w:rsid w:val="00C93020"/>
    <w:rsid w:val="00CB39E0"/>
    <w:rsid w:val="00DA4988"/>
    <w:rsid w:val="00DF38E4"/>
    <w:rsid w:val="00E749C3"/>
    <w:rsid w:val="00EC4A89"/>
    <w:rsid w:val="00FC7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71C1D36B191426BB02ED1FDE685F98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E2AC7FF75AC7482F8DAA8D50BC7E384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792608CBDC004C0B8D82597476A0A2F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58C2E4-1E02-4FF5-AB3F-D59E08D78872}">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13</Pages>
  <Words>4110</Words>
  <Characters>4540</Characters>
  <Lines>62</Lines>
  <Paragraphs>17</Paragraphs>
  <TotalTime>175</TotalTime>
  <ScaleCrop>false</ScaleCrop>
  <LinksUpToDate>false</LinksUpToDate>
  <CharactersWithSpaces>4673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2025-12-19T08:52:00Z</dcterms:created>
  <dc:creator>E14</dc:creator>
  <dc:description>&lt;config cover="true" show_menu="true" version="1.0.0" doctype="SDKXY"&gt;_x000d_
&lt;/config&gt;</dc:description>
  <cp:lastModifiedBy>董振波</cp:lastModifiedBy>
  <cp:lastPrinted>2021-02-02T08:18:00Z</cp:lastPrinted>
  <dcterms:modified xsi:type="dcterms:W3CDTF">2026-04-27T01:18:37Z</dcterms:modified>
  <dc:title>行业标准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eyJoZGlkIjoiYjY4Yjg0ZWZhODFjY2E5NDM3NjA1YTI5N2ZhNDdjNDciLCJ1c2VySWQiOiIzOTAzMzg5NjEifQ==</vt:lpwstr>
  </property>
  <property fmtid="{D5CDD505-2E9C-101B-9397-08002B2CF9AE}" pid="15" name="KSOProductBuildVer">
    <vt:lpwstr>2052-12.1.0.25865</vt:lpwstr>
  </property>
  <property fmtid="{D5CDD505-2E9C-101B-9397-08002B2CF9AE}" pid="16" name="ICV">
    <vt:lpwstr>C3F17FB7B4FE4A5E887C9235E9309C15_13</vt:lpwstr>
  </property>
</Properties>
</file>