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2BBD3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A08D378">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1FA583C7">
            <w:pPr>
              <w:pStyle w:val="18"/>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03.100.20</w:t>
            </w:r>
            <w:r>
              <w:rPr>
                <w:rFonts w:ascii="黑体" w:hAnsi="黑体" w:eastAsia="黑体"/>
                <w:sz w:val="21"/>
                <w:szCs w:val="21"/>
              </w:rPr>
              <w:fldChar w:fldCharType="end"/>
            </w:r>
            <w:bookmarkEnd w:id="0"/>
          </w:p>
        </w:tc>
      </w:tr>
      <w:tr w14:paraId="42720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466BC50">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445315A4">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A 10</w:t>
            </w:r>
            <w:r>
              <w:rPr>
                <w:rFonts w:ascii="黑体" w:hAnsi="黑体" w:eastAsia="黑体"/>
                <w:sz w:val="21"/>
                <w:szCs w:val="21"/>
              </w:rPr>
              <w:fldChar w:fldCharType="end"/>
            </w:r>
            <w:bookmarkEnd w:id="1"/>
          </w:p>
        </w:tc>
      </w:tr>
    </w:tbl>
    <w:tbl>
      <w:tblPr>
        <w:tblStyle w:val="27"/>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6FB2EE3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2A894899">
            <w:pPr>
              <w:pStyle w:val="49"/>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GH</w:t>
            </w:r>
            <w:r>
              <w:fldChar w:fldCharType="end"/>
            </w:r>
            <w:bookmarkEnd w:id="3"/>
          </w:p>
        </w:tc>
      </w:tr>
    </w:tbl>
    <w:p w14:paraId="3E69D5FA">
      <w:pPr>
        <w:pStyle w:val="50"/>
        <w:framePr w:w="9639" w:h="624" w:hRule="exact" w:hSpace="181" w:vSpace="181" w:wrap="around" w:hAnchor="page" w:x="1305" w:y="2269"/>
        <w:rPr>
          <w:rFonts w:hint="eastAsia"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供销合作</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14:paraId="7D42A691">
      <w:pPr>
        <w:pStyle w:val="195"/>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XX/T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00FD0536">
      <w:pPr>
        <w:pStyle w:val="196"/>
        <w:rPr>
          <w:rFonts w:hint="eastAsia"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fldChar w:fldCharType="separate"/>
      </w:r>
      <w:r>
        <w:rPr>
          <w:rFonts w:hAnsi="黑体"/>
        </w:rPr>
        <w:t>     </w:t>
      </w:r>
      <w:r>
        <w:rPr>
          <w:rFonts w:hAnsi="黑体"/>
        </w:rPr>
        <w:fldChar w:fldCharType="end"/>
      </w:r>
      <w:bookmarkEnd w:id="8"/>
    </w:p>
    <w:p w14:paraId="05BD97E7">
      <w:pPr>
        <w:spacing w:line="240" w:lineRule="auto"/>
        <w:rPr>
          <w:rFonts w:hint="eastAsia"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5791DA2">
      <w:pPr>
        <w:pStyle w:val="50"/>
        <w:framePr w:w="9639" w:h="6976" w:hRule="exact" w:hSpace="0" w:vSpace="0" w:wrap="around" w:hAnchor="page" w:y="6408"/>
        <w:jc w:val="center"/>
        <w:rPr>
          <w:rFonts w:hint="eastAsia" w:ascii="黑体" w:hAnsi="黑体" w:eastAsia="黑体"/>
          <w:b w:val="0"/>
          <w:bCs w:val="0"/>
          <w:w w:val="100"/>
          <w:lang w:val="fr-FR"/>
        </w:rPr>
      </w:pPr>
    </w:p>
    <w:p w14:paraId="2272B557">
      <w:pPr>
        <w:pStyle w:val="197"/>
        <w:framePr w:h="6974" w:hRule="exact" w:wrap="around" w:x="1419" w:anchorLock="1"/>
        <w:rPr>
          <w:rFonts w:hint="eastAsia"/>
        </w:rPr>
      </w:pPr>
      <w:bookmarkStart w:id="196" w:name="_GoBack"/>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农资（储备）库建设与管理规范</w:t>
      </w:r>
      <w:r>
        <w:fldChar w:fldCharType="end"/>
      </w:r>
      <w:bookmarkEnd w:id="9"/>
      <w:bookmarkEnd w:id="196"/>
    </w:p>
    <w:p w14:paraId="25A38AE5">
      <w:pPr>
        <w:framePr w:w="9639" w:h="6974" w:hRule="exact" w:wrap="around" w:vAnchor="page" w:hAnchor="page" w:x="1419" w:y="6408" w:anchorLock="1"/>
        <w:ind w:left="-1418"/>
      </w:pPr>
    </w:p>
    <w:p w14:paraId="0E144730">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Construction and management specification for the (reserve) warehouse of agricultural production means</w:t>
      </w:r>
      <w:r>
        <w:rPr>
          <w:rFonts w:eastAsia="黑体"/>
          <w:szCs w:val="28"/>
        </w:rPr>
        <w:fldChar w:fldCharType="end"/>
      </w:r>
      <w:bookmarkEnd w:id="10"/>
    </w:p>
    <w:p w14:paraId="3AFBC7AB">
      <w:pPr>
        <w:framePr w:w="9639" w:h="6974" w:hRule="exact" w:wrap="around" w:vAnchor="page" w:hAnchor="page" w:x="1419" w:y="6408" w:anchorLock="1"/>
        <w:spacing w:line="760" w:lineRule="exact"/>
        <w:ind w:left="-1418"/>
      </w:pPr>
    </w:p>
    <w:p w14:paraId="6827ACAE">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11"/>
    </w:p>
    <w:p w14:paraId="55188CF1">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14:paraId="29E3CB73">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3"/>
    </w:p>
    <w:p w14:paraId="2300C2B6">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14:paraId="6F3A81FA">
      <w:pPr>
        <w:pStyle w:val="193"/>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发布</w:t>
      </w:r>
    </w:p>
    <w:p w14:paraId="32994710">
      <w:pPr>
        <w:pStyle w:val="194"/>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rPr>
          <w:rFonts w:hint="eastAsia"/>
        </w:rPr>
        <w:t>实施</w:t>
      </w:r>
    </w:p>
    <w:p w14:paraId="3D47F260">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中华全国供销合作总社</w:t>
      </w:r>
      <w:r>
        <w:rPr>
          <w:rFonts w:hAnsi="黑体"/>
          <w:w w:val="100"/>
          <w:sz w:val="28"/>
        </w:rPr>
        <w:fldChar w:fldCharType="end"/>
      </w:r>
      <w:bookmarkEnd w:id="21"/>
      <w:r>
        <w:rPr>
          <w:rFonts w:ascii="Times New Roman"/>
          <w:w w:val="100"/>
          <w:sz w:val="28"/>
          <w:szCs w:val="28"/>
        </w:rPr>
        <w:t>  </w:t>
      </w:r>
      <w:r>
        <w:rPr>
          <w:rStyle w:val="229"/>
          <w:rFonts w:hint="eastAsia" w:hAnsi="黑体"/>
          <w:position w:val="0"/>
        </w:rPr>
        <w:t>发</w:t>
      </w:r>
      <w:r>
        <w:rPr>
          <w:rStyle w:val="229"/>
          <w:rFonts w:hint="eastAsia" w:hAnsi="黑体"/>
          <w:spacing w:val="0"/>
          <w:position w:val="0"/>
        </w:rPr>
        <w:t>布</w:t>
      </w:r>
    </w:p>
    <w:p w14:paraId="0C2A243F">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7BD306B">
      <w:pPr>
        <w:pStyle w:val="91"/>
        <w:spacing w:after="360"/>
      </w:pPr>
      <w:bookmarkStart w:id="22" w:name="BookMark1"/>
      <w:r>
        <w:rPr>
          <w:rFonts w:hint="eastAsia"/>
          <w:spacing w:val="320"/>
        </w:rPr>
        <w:t>目</w:t>
      </w:r>
      <w:r>
        <w:rPr>
          <w:rFonts w:hint="eastAsia"/>
        </w:rPr>
        <w:t>次</w:t>
      </w:r>
    </w:p>
    <w:p w14:paraId="3FF7672A">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"_Toc214003825"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_Toc214003825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113D9E7C">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"_Toc214003826"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_Toc214003826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F5C7ED">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"_Toc214003827"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_Toc214003827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7039084">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"_Toc214003828"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_Toc214003828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ECBBB05">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"_Toc214003829" </w:instrText>
      </w:r>
      <w:r>
        <w:fldChar w:fldCharType="separate"/>
      </w:r>
      <w:r>
        <w:rPr>
          <w:rStyle w:val="32"/>
          <w:rFonts w:hint="eastAsia"/>
        </w:rPr>
        <w:t>4</w:t>
      </w:r>
      <w:r>
        <w:rPr>
          <w:rStyle w:val="32"/>
        </w:rPr>
        <w:t xml:space="preserve"> </w:t>
      </w:r>
      <w:r>
        <w:rPr>
          <w:rStyle w:val="32"/>
          <w:rFonts w:hint="eastAsia"/>
        </w:rPr>
        <w:t xml:space="preserve"> 总体要求</w:t>
      </w:r>
      <w:r>
        <w:rPr>
          <w:rFonts w:hint="eastAsia"/>
        </w:rPr>
        <w:tab/>
      </w:r>
      <w:r>
        <w:rPr>
          <w:rFonts w:hint="eastAsia"/>
        </w:rPr>
        <w:fldChar w:fldCharType="begin"/>
      </w:r>
      <w:r>
        <w:rPr>
          <w:rFonts w:hint="eastAsia"/>
        </w:rPr>
        <w:instrText xml:space="preserve"> </w:instrText>
      </w:r>
      <w:r>
        <w:instrText xml:space="preserve">PAGEREF _Toc214003829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8D288F4">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"_Toc214003830" </w:instrText>
      </w:r>
      <w:r>
        <w:fldChar w:fldCharType="separate"/>
      </w:r>
      <w:r>
        <w:rPr>
          <w:rStyle w:val="32"/>
          <w:rFonts w:hint="eastAsia"/>
        </w:rPr>
        <w:t>5</w:t>
      </w:r>
      <w:r>
        <w:rPr>
          <w:rStyle w:val="32"/>
        </w:rPr>
        <w:t xml:space="preserve"> </w:t>
      </w:r>
      <w:r>
        <w:rPr>
          <w:rStyle w:val="32"/>
          <w:rFonts w:hint="eastAsia"/>
        </w:rPr>
        <w:t xml:space="preserve"> 建设要求</w:t>
      </w:r>
      <w:r>
        <w:rPr>
          <w:rFonts w:hint="eastAsia"/>
        </w:rPr>
        <w:tab/>
      </w:r>
      <w:r>
        <w:rPr>
          <w:rFonts w:hint="eastAsia"/>
        </w:rPr>
        <w:fldChar w:fldCharType="begin"/>
      </w:r>
      <w:r>
        <w:rPr>
          <w:rFonts w:hint="eastAsia"/>
        </w:rPr>
        <w:instrText xml:space="preserve"> </w:instrText>
      </w:r>
      <w:r>
        <w:instrText xml:space="preserve">PAGEREF _Toc214003830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FDCE630">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"_Toc214003831" </w:instrText>
      </w:r>
      <w:r>
        <w:fldChar w:fldCharType="separate"/>
      </w:r>
      <w:r>
        <w:rPr>
          <w:rStyle w:val="32"/>
          <w:rFonts w:hint="eastAsia"/>
          <w14:scene3d>
            <w14:lightRig w14:rig="threePt" w14:dir="t">
              <w14:rot w14:lat="0" w14:lon="0" w14:rev="0"/>
            </w14:lightRig>
          </w14:scene3d>
        </w:rPr>
        <w:t>5.1</w:t>
      </w:r>
      <w:r>
        <w:rPr>
          <w:rStyle w:val="32"/>
          <w14:scene3d>
            <w14:lightRig w14:rig="threePt" w14:dir="t">
              <w14:rot w14:lat="0" w14:lon="0" w14:rev="0"/>
            </w14:lightRig>
          </w14:scene3d>
        </w:rPr>
        <w:t xml:space="preserve"> </w:t>
      </w:r>
      <w:r>
        <w:rPr>
          <w:rStyle w:val="32"/>
          <w:rFonts w:hint="eastAsia"/>
        </w:rPr>
        <w:t xml:space="preserve"> 基本要求</w:t>
      </w:r>
      <w:r>
        <w:rPr>
          <w:rFonts w:hint="eastAsia"/>
        </w:rPr>
        <w:tab/>
      </w:r>
      <w:r>
        <w:rPr>
          <w:rFonts w:hint="eastAsia"/>
        </w:rPr>
        <w:fldChar w:fldCharType="begin"/>
      </w:r>
      <w:r>
        <w:rPr>
          <w:rFonts w:hint="eastAsia"/>
        </w:rPr>
        <w:instrText xml:space="preserve"> </w:instrText>
      </w:r>
      <w:r>
        <w:instrText xml:space="preserve">PAGEREF _Toc214003831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877885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"_Toc214003832" </w:instrText>
      </w:r>
      <w:r>
        <w:fldChar w:fldCharType="separate"/>
      </w:r>
      <w:r>
        <w:rPr>
          <w:rStyle w:val="32"/>
          <w:rFonts w:hint="eastAsia"/>
          <w14:scene3d>
            <w14:lightRig w14:rig="threePt" w14:dir="t">
              <w14:rot w14:lat="0" w14:lon="0" w14:rev="0"/>
            </w14:lightRig>
          </w14:scene3d>
        </w:rPr>
        <w:t>5.2</w:t>
      </w:r>
      <w:r>
        <w:rPr>
          <w:rStyle w:val="32"/>
          <w14:scene3d>
            <w14:lightRig w14:rig="threePt" w14:dir="t">
              <w14:rot w14:lat="0" w14:lon="0" w14:rev="0"/>
            </w14:lightRig>
          </w14:scene3d>
        </w:rPr>
        <w:t xml:space="preserve"> </w:t>
      </w:r>
      <w:r>
        <w:rPr>
          <w:rStyle w:val="32"/>
          <w:rFonts w:hint="eastAsia"/>
        </w:rPr>
        <w:t xml:space="preserve"> 规模等级划分</w:t>
      </w:r>
      <w:r>
        <w:rPr>
          <w:rFonts w:hint="eastAsia"/>
        </w:rPr>
        <w:tab/>
      </w:r>
      <w:r>
        <w:rPr>
          <w:rFonts w:hint="eastAsia"/>
        </w:rPr>
        <w:fldChar w:fldCharType="begin"/>
      </w:r>
      <w:r>
        <w:rPr>
          <w:rFonts w:hint="eastAsia"/>
        </w:rPr>
        <w:instrText xml:space="preserve"> </w:instrText>
      </w:r>
      <w:r>
        <w:instrText xml:space="preserve">PAGEREF _Toc214003832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CB667B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"_Toc214003833" </w:instrText>
      </w:r>
      <w:r>
        <w:fldChar w:fldCharType="separate"/>
      </w:r>
      <w:r>
        <w:rPr>
          <w:rStyle w:val="32"/>
          <w:rFonts w:hint="eastAsia"/>
          <w14:scene3d>
            <w14:lightRig w14:rig="threePt" w14:dir="t">
              <w14:rot w14:lat="0" w14:lon="0" w14:rev="0"/>
            </w14:lightRig>
          </w14:scene3d>
        </w:rPr>
        <w:t>5.3</w:t>
      </w:r>
      <w:r>
        <w:rPr>
          <w:rStyle w:val="32"/>
          <w14:scene3d>
            <w14:lightRig w14:rig="threePt" w14:dir="t">
              <w14:rot w14:lat="0" w14:lon="0" w14:rev="0"/>
            </w14:lightRig>
          </w14:scene3d>
        </w:rPr>
        <w:t xml:space="preserve"> </w:t>
      </w:r>
      <w:r>
        <w:rPr>
          <w:rStyle w:val="32"/>
          <w:rFonts w:hint="eastAsia"/>
        </w:rPr>
        <w:t xml:space="preserve"> 选址要求</w:t>
      </w:r>
      <w:r>
        <w:rPr>
          <w:rFonts w:hint="eastAsia"/>
        </w:rPr>
        <w:tab/>
      </w:r>
      <w:r>
        <w:rPr>
          <w:rFonts w:hint="eastAsia"/>
        </w:rPr>
        <w:fldChar w:fldCharType="begin"/>
      </w:r>
      <w:r>
        <w:rPr>
          <w:rFonts w:hint="eastAsia"/>
        </w:rPr>
        <w:instrText xml:space="preserve"> </w:instrText>
      </w:r>
      <w:r>
        <w:instrText xml:space="preserve">PAGEREF _Toc214003833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CB4D55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"_Toc214003834" </w:instrText>
      </w:r>
      <w:r>
        <w:fldChar w:fldCharType="separate"/>
      </w:r>
      <w:r>
        <w:rPr>
          <w:rStyle w:val="32"/>
          <w:rFonts w:hint="eastAsia"/>
          <w14:scene3d>
            <w14:lightRig w14:rig="threePt" w14:dir="t">
              <w14:rot w14:lat="0" w14:lon="0" w14:rev="0"/>
            </w14:lightRig>
          </w14:scene3d>
        </w:rPr>
        <w:t>5.4</w:t>
      </w:r>
      <w:r>
        <w:rPr>
          <w:rStyle w:val="32"/>
          <w14:scene3d>
            <w14:lightRig w14:rig="threePt" w14:dir="t">
              <w14:rot w14:lat="0" w14:lon="0" w14:rev="0"/>
            </w14:lightRig>
          </w14:scene3d>
        </w:rPr>
        <w:t xml:space="preserve"> </w:t>
      </w:r>
      <w:r>
        <w:rPr>
          <w:rStyle w:val="32"/>
          <w:rFonts w:hint="eastAsia"/>
        </w:rPr>
        <w:t xml:space="preserve"> 农资（储备）库构成</w:t>
      </w:r>
      <w:r>
        <w:rPr>
          <w:rFonts w:hint="eastAsia"/>
        </w:rPr>
        <w:tab/>
      </w:r>
      <w:r>
        <w:rPr>
          <w:rFonts w:hint="eastAsia"/>
        </w:rPr>
        <w:fldChar w:fldCharType="begin"/>
      </w:r>
      <w:r>
        <w:rPr>
          <w:rFonts w:hint="eastAsia"/>
        </w:rPr>
        <w:instrText xml:space="preserve"> </w:instrText>
      </w:r>
      <w:r>
        <w:instrText xml:space="preserve">PAGEREF _Toc214003834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068E42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"_Toc214003835" </w:instrText>
      </w:r>
      <w:r>
        <w:fldChar w:fldCharType="separate"/>
      </w:r>
      <w:r>
        <w:rPr>
          <w:rStyle w:val="32"/>
          <w:rFonts w:hint="eastAsia"/>
          <w14:scene3d>
            <w14:lightRig w14:rig="threePt" w14:dir="t">
              <w14:rot w14:lat="0" w14:lon="0" w14:rev="0"/>
            </w14:lightRig>
          </w14:scene3d>
        </w:rPr>
        <w:t>5.5</w:t>
      </w:r>
      <w:r>
        <w:rPr>
          <w:rStyle w:val="32"/>
          <w14:scene3d>
            <w14:lightRig w14:rig="threePt" w14:dir="t">
              <w14:rot w14:lat="0" w14:lon="0" w14:rev="0"/>
            </w14:lightRig>
          </w14:scene3d>
        </w:rPr>
        <w:t xml:space="preserve"> </w:t>
      </w:r>
      <w:r>
        <w:rPr>
          <w:rStyle w:val="32"/>
          <w:rFonts w:hint="eastAsia"/>
        </w:rPr>
        <w:t xml:space="preserve"> 建筑与总平面要求</w:t>
      </w:r>
      <w:r>
        <w:rPr>
          <w:rFonts w:hint="eastAsia"/>
        </w:rPr>
        <w:tab/>
      </w:r>
      <w:r>
        <w:rPr>
          <w:rFonts w:hint="eastAsia"/>
        </w:rPr>
        <w:fldChar w:fldCharType="begin"/>
      </w:r>
      <w:r>
        <w:rPr>
          <w:rFonts w:hint="eastAsia"/>
        </w:rPr>
        <w:instrText xml:space="preserve"> </w:instrText>
      </w:r>
      <w:r>
        <w:instrText xml:space="preserve">PAGEREF _Toc214003835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3305E14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"_Toc214003836" </w:instrText>
      </w:r>
      <w:r>
        <w:fldChar w:fldCharType="separate"/>
      </w:r>
      <w:r>
        <w:rPr>
          <w:rStyle w:val="32"/>
          <w:rFonts w:hint="eastAsia"/>
          <w14:scene3d>
            <w14:lightRig w14:rig="threePt" w14:dir="t">
              <w14:rot w14:lat="0" w14:lon="0" w14:rev="0"/>
            </w14:lightRig>
          </w14:scene3d>
        </w:rPr>
        <w:t>5.6</w:t>
      </w:r>
      <w:r>
        <w:rPr>
          <w:rStyle w:val="32"/>
          <w14:scene3d>
            <w14:lightRig w14:rig="threePt" w14:dir="t">
              <w14:rot w14:lat="0" w14:lon="0" w14:rev="0"/>
            </w14:lightRig>
          </w14:scene3d>
        </w:rPr>
        <w:t xml:space="preserve"> </w:t>
      </w:r>
      <w:r>
        <w:rPr>
          <w:rStyle w:val="32"/>
          <w:rFonts w:hint="eastAsia"/>
        </w:rPr>
        <w:t xml:space="preserve"> 辅助设备要求</w:t>
      </w:r>
      <w:r>
        <w:rPr>
          <w:rFonts w:hint="eastAsia"/>
        </w:rPr>
        <w:tab/>
      </w:r>
      <w:r>
        <w:rPr>
          <w:rFonts w:hint="eastAsia"/>
        </w:rPr>
        <w:fldChar w:fldCharType="begin"/>
      </w:r>
      <w:r>
        <w:rPr>
          <w:rFonts w:hint="eastAsia"/>
        </w:rPr>
        <w:instrText xml:space="preserve"> </w:instrText>
      </w:r>
      <w:r>
        <w:instrText xml:space="preserve">PAGEREF _Toc214003836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39FEEE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"_Toc214003837" </w:instrText>
      </w:r>
      <w:r>
        <w:fldChar w:fldCharType="separate"/>
      </w:r>
      <w:r>
        <w:rPr>
          <w:rStyle w:val="32"/>
          <w:rFonts w:hint="eastAsia"/>
          <w14:scene3d>
            <w14:lightRig w14:rig="threePt" w14:dir="t">
              <w14:rot w14:lat="0" w14:lon="0" w14:rev="0"/>
            </w14:lightRig>
          </w14:scene3d>
        </w:rPr>
        <w:t>5.7</w:t>
      </w:r>
      <w:r>
        <w:rPr>
          <w:rStyle w:val="32"/>
          <w14:scene3d>
            <w14:lightRig w14:rig="threePt" w14:dir="t">
              <w14:rot w14:lat="0" w14:lon="0" w14:rev="0"/>
            </w14:lightRig>
          </w14:scene3d>
        </w:rPr>
        <w:t xml:space="preserve"> </w:t>
      </w:r>
      <w:r>
        <w:rPr>
          <w:rStyle w:val="32"/>
          <w:rFonts w:hint="eastAsia"/>
        </w:rPr>
        <w:t xml:space="preserve"> 环保要求</w:t>
      </w:r>
      <w:r>
        <w:rPr>
          <w:rFonts w:hint="eastAsia"/>
        </w:rPr>
        <w:tab/>
      </w:r>
      <w:r>
        <w:rPr>
          <w:rFonts w:hint="eastAsia"/>
        </w:rPr>
        <w:fldChar w:fldCharType="begin"/>
      </w:r>
      <w:r>
        <w:rPr>
          <w:rFonts w:hint="eastAsia"/>
        </w:rPr>
        <w:instrText xml:space="preserve"> </w:instrText>
      </w:r>
      <w:r>
        <w:instrText xml:space="preserve">PAGEREF _Toc214003837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99C0D46">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"_Toc214003838" </w:instrText>
      </w:r>
      <w:r>
        <w:fldChar w:fldCharType="separate"/>
      </w:r>
      <w:r>
        <w:rPr>
          <w:rStyle w:val="32"/>
          <w:rFonts w:hint="eastAsia"/>
        </w:rPr>
        <w:t>6</w:t>
      </w:r>
      <w:r>
        <w:rPr>
          <w:rStyle w:val="32"/>
        </w:rPr>
        <w:t xml:space="preserve"> </w:t>
      </w:r>
      <w:r>
        <w:rPr>
          <w:rStyle w:val="32"/>
          <w:rFonts w:hint="eastAsia"/>
        </w:rPr>
        <w:t xml:space="preserve"> 管理要求</w:t>
      </w:r>
      <w:r>
        <w:rPr>
          <w:rFonts w:hint="eastAsia"/>
        </w:rPr>
        <w:tab/>
      </w:r>
      <w:r>
        <w:rPr>
          <w:rFonts w:hint="eastAsia"/>
        </w:rPr>
        <w:fldChar w:fldCharType="begin"/>
      </w:r>
      <w:r>
        <w:rPr>
          <w:rFonts w:hint="eastAsia"/>
        </w:rPr>
        <w:instrText xml:space="preserve"> </w:instrText>
      </w:r>
      <w:r>
        <w:instrText xml:space="preserve">PAGEREF _Toc214003838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2B6009B">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"_Toc214003839" </w:instrText>
      </w:r>
      <w:r>
        <w:fldChar w:fldCharType="separate"/>
      </w:r>
      <w:r>
        <w:rPr>
          <w:rStyle w:val="32"/>
          <w:rFonts w:hint="eastAsia"/>
          <w14:scene3d>
            <w14:lightRig w14:rig="threePt" w14:dir="t">
              <w14:rot w14:lat="0" w14:lon="0" w14:rev="0"/>
            </w14:lightRig>
          </w14:scene3d>
        </w:rPr>
        <w:t>6.1</w:t>
      </w:r>
      <w:r>
        <w:rPr>
          <w:rStyle w:val="32"/>
          <w14:scene3d>
            <w14:lightRig w14:rig="threePt" w14:dir="t">
              <w14:rot w14:lat="0" w14:lon="0" w14:rev="0"/>
            </w14:lightRig>
          </w14:scene3d>
        </w:rPr>
        <w:t xml:space="preserve"> </w:t>
      </w:r>
      <w:r>
        <w:rPr>
          <w:rStyle w:val="32"/>
          <w:rFonts w:hint="eastAsia"/>
        </w:rPr>
        <w:t xml:space="preserve"> 制度要求</w:t>
      </w:r>
      <w:r>
        <w:rPr>
          <w:rFonts w:hint="eastAsia"/>
        </w:rPr>
        <w:tab/>
      </w:r>
      <w:r>
        <w:rPr>
          <w:rFonts w:hint="eastAsia"/>
        </w:rPr>
        <w:fldChar w:fldCharType="begin"/>
      </w:r>
      <w:r>
        <w:rPr>
          <w:rFonts w:hint="eastAsia"/>
        </w:rPr>
        <w:instrText xml:space="preserve"> </w:instrText>
      </w:r>
      <w:r>
        <w:instrText xml:space="preserve">PAGEREF _Toc214003839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7B4233C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"_Toc214003840" </w:instrText>
      </w:r>
      <w:r>
        <w:fldChar w:fldCharType="separate"/>
      </w:r>
      <w:r>
        <w:rPr>
          <w:rStyle w:val="32"/>
          <w:rFonts w:hint="eastAsia"/>
          <w14:scene3d>
            <w14:lightRig w14:rig="threePt" w14:dir="t">
              <w14:rot w14:lat="0" w14:lon="0" w14:rev="0"/>
            </w14:lightRig>
          </w14:scene3d>
        </w:rPr>
        <w:t>6.2</w:t>
      </w:r>
      <w:r>
        <w:rPr>
          <w:rStyle w:val="32"/>
          <w14:scene3d>
            <w14:lightRig w14:rig="threePt" w14:dir="t">
              <w14:rot w14:lat="0" w14:lon="0" w14:rev="0"/>
            </w14:lightRig>
          </w14:scene3d>
        </w:rPr>
        <w:t xml:space="preserve"> </w:t>
      </w:r>
      <w:r>
        <w:rPr>
          <w:rStyle w:val="32"/>
          <w:rFonts w:hint="eastAsia"/>
        </w:rPr>
        <w:t xml:space="preserve"> 合同签订</w:t>
      </w:r>
      <w:r>
        <w:rPr>
          <w:rFonts w:hint="eastAsia"/>
        </w:rPr>
        <w:tab/>
      </w:r>
      <w:r>
        <w:rPr>
          <w:rFonts w:hint="eastAsia"/>
        </w:rPr>
        <w:fldChar w:fldCharType="begin"/>
      </w:r>
      <w:r>
        <w:rPr>
          <w:rFonts w:hint="eastAsia"/>
        </w:rPr>
        <w:instrText xml:space="preserve"> </w:instrText>
      </w:r>
      <w:r>
        <w:instrText xml:space="preserve">PAGEREF _Toc214003840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35C8D0E7">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"_Toc214003841" </w:instrText>
      </w:r>
      <w:r>
        <w:fldChar w:fldCharType="separate"/>
      </w:r>
      <w:r>
        <w:rPr>
          <w:rStyle w:val="32"/>
          <w:rFonts w:hint="eastAsia"/>
          <w14:scene3d>
            <w14:lightRig w14:rig="threePt" w14:dir="t">
              <w14:rot w14:lat="0" w14:lon="0" w14:rev="0"/>
            </w14:lightRig>
          </w14:scene3d>
        </w:rPr>
        <w:t>6.3</w:t>
      </w:r>
      <w:r>
        <w:rPr>
          <w:rStyle w:val="32"/>
          <w14:scene3d>
            <w14:lightRig w14:rig="threePt" w14:dir="t">
              <w14:rot w14:lat="0" w14:lon="0" w14:rev="0"/>
            </w14:lightRig>
          </w14:scene3d>
        </w:rPr>
        <w:t xml:space="preserve"> </w:t>
      </w:r>
      <w:r>
        <w:rPr>
          <w:rStyle w:val="32"/>
          <w:rFonts w:hint="eastAsia"/>
        </w:rPr>
        <w:t xml:space="preserve"> 作业准备</w:t>
      </w:r>
      <w:r>
        <w:rPr>
          <w:rFonts w:hint="eastAsia"/>
        </w:rPr>
        <w:tab/>
      </w:r>
      <w:r>
        <w:rPr>
          <w:rFonts w:hint="eastAsia"/>
        </w:rPr>
        <w:fldChar w:fldCharType="begin"/>
      </w:r>
      <w:r>
        <w:rPr>
          <w:rFonts w:hint="eastAsia"/>
        </w:rPr>
        <w:instrText xml:space="preserve"> </w:instrText>
      </w:r>
      <w:r>
        <w:instrText xml:space="preserve">PAGEREF _Toc214003841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7402FA91">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"_Toc214003842" </w:instrText>
      </w:r>
      <w:r>
        <w:fldChar w:fldCharType="separate"/>
      </w:r>
      <w:r>
        <w:rPr>
          <w:rStyle w:val="32"/>
          <w:rFonts w:hint="eastAsia"/>
          <w14:scene3d>
            <w14:lightRig w14:rig="threePt" w14:dir="t">
              <w14:rot w14:lat="0" w14:lon="0" w14:rev="0"/>
            </w14:lightRig>
          </w14:scene3d>
        </w:rPr>
        <w:t>6.4</w:t>
      </w:r>
      <w:r>
        <w:rPr>
          <w:rStyle w:val="32"/>
          <w14:scene3d>
            <w14:lightRig w14:rig="threePt" w14:dir="t">
              <w14:rot w14:lat="0" w14:lon="0" w14:rev="0"/>
            </w14:lightRig>
          </w14:scene3d>
        </w:rPr>
        <w:t xml:space="preserve"> </w:t>
      </w:r>
      <w:r>
        <w:rPr>
          <w:rStyle w:val="32"/>
          <w:rFonts w:hint="eastAsia"/>
        </w:rPr>
        <w:t xml:space="preserve"> 初步查验</w:t>
      </w:r>
      <w:r>
        <w:rPr>
          <w:rFonts w:hint="eastAsia"/>
        </w:rPr>
        <w:tab/>
      </w:r>
      <w:r>
        <w:rPr>
          <w:rFonts w:hint="eastAsia"/>
        </w:rPr>
        <w:fldChar w:fldCharType="begin"/>
      </w:r>
      <w:r>
        <w:rPr>
          <w:rFonts w:hint="eastAsia"/>
        </w:rPr>
        <w:instrText xml:space="preserve"> </w:instrText>
      </w:r>
      <w:r>
        <w:instrText xml:space="preserve">PAGEREF _Toc214003842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15385E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"_Toc214003843" </w:instrText>
      </w:r>
      <w:r>
        <w:fldChar w:fldCharType="separate"/>
      </w:r>
      <w:r>
        <w:rPr>
          <w:rStyle w:val="32"/>
          <w:rFonts w:hint="eastAsia"/>
          <w14:scene3d>
            <w14:lightRig w14:rig="threePt" w14:dir="t">
              <w14:rot w14:lat="0" w14:lon="0" w14:rev="0"/>
            </w14:lightRig>
          </w14:scene3d>
        </w:rPr>
        <w:t>6.5</w:t>
      </w:r>
      <w:r>
        <w:rPr>
          <w:rStyle w:val="32"/>
          <w14:scene3d>
            <w14:lightRig w14:rig="threePt" w14:dir="t">
              <w14:rot w14:lat="0" w14:lon="0" w14:rev="0"/>
            </w14:lightRig>
          </w14:scene3d>
        </w:rPr>
        <w:t xml:space="preserve"> </w:t>
      </w:r>
      <w:r>
        <w:rPr>
          <w:rStyle w:val="32"/>
          <w:rFonts w:hint="eastAsia"/>
        </w:rPr>
        <w:t xml:space="preserve"> 入库验收</w:t>
      </w:r>
      <w:r>
        <w:rPr>
          <w:rFonts w:hint="eastAsia"/>
        </w:rPr>
        <w:tab/>
      </w:r>
      <w:r>
        <w:rPr>
          <w:rFonts w:hint="eastAsia"/>
        </w:rPr>
        <w:fldChar w:fldCharType="begin"/>
      </w:r>
      <w:r>
        <w:rPr>
          <w:rFonts w:hint="eastAsia"/>
        </w:rPr>
        <w:instrText xml:space="preserve"> </w:instrText>
      </w:r>
      <w:r>
        <w:instrText xml:space="preserve">PAGEREF _Toc214003843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C451196">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"_Toc214003844" </w:instrText>
      </w:r>
      <w:r>
        <w:fldChar w:fldCharType="separate"/>
      </w:r>
      <w:r>
        <w:rPr>
          <w:rStyle w:val="32"/>
          <w:rFonts w:hint="eastAsia"/>
          <w14:scene3d>
            <w14:lightRig w14:rig="threePt" w14:dir="t">
              <w14:rot w14:lat="0" w14:lon="0" w14:rev="0"/>
            </w14:lightRig>
          </w14:scene3d>
        </w:rPr>
        <w:t>6.6</w:t>
      </w:r>
      <w:r>
        <w:rPr>
          <w:rStyle w:val="32"/>
          <w14:scene3d>
            <w14:lightRig w14:rig="threePt" w14:dir="t">
              <w14:rot w14:lat="0" w14:lon="0" w14:rev="0"/>
            </w14:lightRig>
          </w14:scene3d>
        </w:rPr>
        <w:t xml:space="preserve"> </w:t>
      </w:r>
      <w:r>
        <w:rPr>
          <w:rStyle w:val="32"/>
          <w:rFonts w:hint="eastAsia"/>
        </w:rPr>
        <w:t xml:space="preserve"> 装卸堆码</w:t>
      </w:r>
      <w:r>
        <w:rPr>
          <w:rFonts w:hint="eastAsia"/>
        </w:rPr>
        <w:tab/>
      </w:r>
      <w:r>
        <w:rPr>
          <w:rFonts w:hint="eastAsia"/>
        </w:rPr>
        <w:fldChar w:fldCharType="begin"/>
      </w:r>
      <w:r>
        <w:rPr>
          <w:rFonts w:hint="eastAsia"/>
        </w:rPr>
        <w:instrText xml:space="preserve"> </w:instrText>
      </w:r>
      <w:r>
        <w:instrText xml:space="preserve">PAGEREF _Toc214003844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0C08E7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"_Toc214003845" </w:instrText>
      </w:r>
      <w:r>
        <w:fldChar w:fldCharType="separate"/>
      </w:r>
      <w:r>
        <w:rPr>
          <w:rStyle w:val="32"/>
          <w:rFonts w:hint="eastAsia"/>
          <w14:scene3d>
            <w14:lightRig w14:rig="threePt" w14:dir="t">
              <w14:rot w14:lat="0" w14:lon="0" w14:rev="0"/>
            </w14:lightRig>
          </w14:scene3d>
        </w:rPr>
        <w:t>6.7</w:t>
      </w:r>
      <w:r>
        <w:rPr>
          <w:rStyle w:val="32"/>
          <w14:scene3d>
            <w14:lightRig w14:rig="threePt" w14:dir="t">
              <w14:rot w14:lat="0" w14:lon="0" w14:rev="0"/>
            </w14:lightRig>
          </w14:scene3d>
        </w:rPr>
        <w:t xml:space="preserve"> </w:t>
      </w:r>
      <w:r>
        <w:rPr>
          <w:rStyle w:val="32"/>
          <w:rFonts w:hint="eastAsia"/>
        </w:rPr>
        <w:t xml:space="preserve"> 在库管理</w:t>
      </w:r>
      <w:r>
        <w:rPr>
          <w:rFonts w:hint="eastAsia"/>
        </w:rPr>
        <w:tab/>
      </w:r>
      <w:r>
        <w:rPr>
          <w:rFonts w:hint="eastAsia"/>
        </w:rPr>
        <w:fldChar w:fldCharType="begin"/>
      </w:r>
      <w:r>
        <w:rPr>
          <w:rFonts w:hint="eastAsia"/>
        </w:rPr>
        <w:instrText xml:space="preserve"> </w:instrText>
      </w:r>
      <w:r>
        <w:instrText xml:space="preserve">PAGEREF _Toc214003845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6257511">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"_Toc214003846" </w:instrText>
      </w:r>
      <w:r>
        <w:fldChar w:fldCharType="separate"/>
      </w:r>
      <w:r>
        <w:rPr>
          <w:rStyle w:val="32"/>
          <w:rFonts w:hint="eastAsia"/>
          <w14:scene3d>
            <w14:lightRig w14:rig="threePt" w14:dir="t">
              <w14:rot w14:lat="0" w14:lon="0" w14:rev="0"/>
            </w14:lightRig>
          </w14:scene3d>
        </w:rPr>
        <w:t>6.8</w:t>
      </w:r>
      <w:r>
        <w:rPr>
          <w:rStyle w:val="32"/>
          <w14:scene3d>
            <w14:lightRig w14:rig="threePt" w14:dir="t">
              <w14:rot w14:lat="0" w14:lon="0" w14:rev="0"/>
            </w14:lightRig>
          </w14:scene3d>
        </w:rPr>
        <w:t xml:space="preserve"> </w:t>
      </w:r>
      <w:r>
        <w:rPr>
          <w:rStyle w:val="32"/>
          <w:rFonts w:hint="eastAsia"/>
        </w:rPr>
        <w:t xml:space="preserve"> 出库作业</w:t>
      </w:r>
      <w:r>
        <w:rPr>
          <w:rFonts w:hint="eastAsia"/>
        </w:rPr>
        <w:tab/>
      </w:r>
      <w:r>
        <w:rPr>
          <w:rFonts w:hint="eastAsia"/>
        </w:rPr>
        <w:fldChar w:fldCharType="begin"/>
      </w:r>
      <w:r>
        <w:rPr>
          <w:rFonts w:hint="eastAsia"/>
        </w:rPr>
        <w:instrText xml:space="preserve"> </w:instrText>
      </w:r>
      <w:r>
        <w:instrText xml:space="preserve">PAGEREF _Toc214003846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608FC38">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"_Toc214003847" </w:instrText>
      </w:r>
      <w:r>
        <w:fldChar w:fldCharType="separate"/>
      </w:r>
      <w:r>
        <w:rPr>
          <w:rStyle w:val="32"/>
          <w:rFonts w:hint="eastAsia"/>
          <w14:scene3d>
            <w14:lightRig w14:rig="threePt" w14:dir="t">
              <w14:rot w14:lat="0" w14:lon="0" w14:rev="0"/>
            </w14:lightRig>
          </w14:scene3d>
        </w:rPr>
        <w:t>6.9</w:t>
      </w:r>
      <w:r>
        <w:rPr>
          <w:rStyle w:val="32"/>
          <w14:scene3d>
            <w14:lightRig w14:rig="threePt" w14:dir="t">
              <w14:rot w14:lat="0" w14:lon="0" w14:rev="0"/>
            </w14:lightRig>
          </w14:scene3d>
        </w:rPr>
        <w:t xml:space="preserve"> </w:t>
      </w:r>
      <w:r>
        <w:rPr>
          <w:rStyle w:val="32"/>
          <w:rFonts w:hint="eastAsia"/>
        </w:rPr>
        <w:t xml:space="preserve"> 信息服务</w:t>
      </w:r>
      <w:r>
        <w:rPr>
          <w:rFonts w:hint="eastAsia"/>
        </w:rPr>
        <w:tab/>
      </w:r>
      <w:r>
        <w:rPr>
          <w:rFonts w:hint="eastAsia"/>
        </w:rPr>
        <w:fldChar w:fldCharType="begin"/>
      </w:r>
      <w:r>
        <w:rPr>
          <w:rFonts w:hint="eastAsia"/>
        </w:rPr>
        <w:instrText xml:space="preserve"> </w:instrText>
      </w:r>
      <w:r>
        <w:instrText xml:space="preserve">PAGEREF _Toc214003847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1C0D186">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"_Toc214003848" </w:instrText>
      </w:r>
      <w:r>
        <w:fldChar w:fldCharType="separate"/>
      </w:r>
      <w:r>
        <w:rPr>
          <w:rStyle w:val="32"/>
          <w:rFonts w:hint="eastAsia"/>
          <w14:scene3d>
            <w14:lightRig w14:rig="threePt" w14:dir="t">
              <w14:rot w14:lat="0" w14:lon="0" w14:rev="0"/>
            </w14:lightRig>
          </w14:scene3d>
        </w:rPr>
        <w:t>6.10</w:t>
      </w:r>
      <w:r>
        <w:rPr>
          <w:rStyle w:val="32"/>
          <w14:scene3d>
            <w14:lightRig w14:rig="threePt" w14:dir="t">
              <w14:rot w14:lat="0" w14:lon="0" w14:rev="0"/>
            </w14:lightRig>
          </w14:scene3d>
        </w:rPr>
        <w:t xml:space="preserve"> </w:t>
      </w:r>
      <w:r>
        <w:rPr>
          <w:rStyle w:val="32"/>
          <w:rFonts w:hint="eastAsia"/>
        </w:rPr>
        <w:t xml:space="preserve"> 风险控制</w:t>
      </w:r>
      <w:r>
        <w:rPr>
          <w:rFonts w:hint="eastAsia"/>
        </w:rPr>
        <w:tab/>
      </w:r>
      <w:r>
        <w:rPr>
          <w:rFonts w:hint="eastAsia"/>
        </w:rPr>
        <w:fldChar w:fldCharType="begin"/>
      </w:r>
      <w:r>
        <w:rPr>
          <w:rFonts w:hint="eastAsia"/>
        </w:rPr>
        <w:instrText xml:space="preserve"> </w:instrText>
      </w:r>
      <w:r>
        <w:instrText xml:space="preserve">PAGEREF _Toc214003848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D32F213">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"_Toc214003849" </w:instrText>
      </w:r>
      <w:r>
        <w:fldChar w:fldCharType="separate"/>
      </w:r>
      <w:r>
        <w:rPr>
          <w:rStyle w:val="32"/>
          <w:rFonts w:hint="eastAsia"/>
          <w14:scene3d>
            <w14:lightRig w14:rig="threePt" w14:dir="t">
              <w14:rot w14:lat="0" w14:lon="0" w14:rev="0"/>
            </w14:lightRig>
          </w14:scene3d>
        </w:rPr>
        <w:t>6.11</w:t>
      </w:r>
      <w:r>
        <w:rPr>
          <w:rStyle w:val="32"/>
          <w14:scene3d>
            <w14:lightRig w14:rig="threePt" w14:dir="t">
              <w14:rot w14:lat="0" w14:lon="0" w14:rev="0"/>
            </w14:lightRig>
          </w14:scene3d>
        </w:rPr>
        <w:t xml:space="preserve"> </w:t>
      </w:r>
      <w:r>
        <w:rPr>
          <w:rStyle w:val="32"/>
          <w:rFonts w:hint="eastAsia"/>
        </w:rPr>
        <w:t xml:space="preserve"> 人员要求</w:t>
      </w:r>
      <w:r>
        <w:rPr>
          <w:rFonts w:hint="eastAsia"/>
        </w:rPr>
        <w:tab/>
      </w:r>
      <w:r>
        <w:rPr>
          <w:rFonts w:hint="eastAsia"/>
        </w:rPr>
        <w:fldChar w:fldCharType="begin"/>
      </w:r>
      <w:r>
        <w:rPr>
          <w:rFonts w:hint="eastAsia"/>
        </w:rPr>
        <w:instrText xml:space="preserve"> </w:instrText>
      </w:r>
      <w:r>
        <w:instrText xml:space="preserve">PAGEREF _Toc214003849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67D880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"_Toc214003850" </w:instrText>
      </w:r>
      <w:r>
        <w:fldChar w:fldCharType="separate"/>
      </w:r>
      <w:r>
        <w:rPr>
          <w:rStyle w:val="32"/>
          <w:rFonts w:hint="eastAsia"/>
        </w:rPr>
        <w:t>参考文献</w:t>
      </w:r>
      <w:r>
        <w:rPr>
          <w:rFonts w:hint="eastAsia"/>
        </w:rPr>
        <w:tab/>
      </w:r>
      <w:r>
        <w:rPr>
          <w:rFonts w:hint="eastAsia"/>
        </w:rPr>
        <w:fldChar w:fldCharType="begin"/>
      </w:r>
      <w:r>
        <w:rPr>
          <w:rFonts w:hint="eastAsia"/>
        </w:rPr>
        <w:instrText xml:space="preserve"> </w:instrText>
      </w:r>
      <w:r>
        <w:instrText xml:space="preserve">PAGEREF _Toc214003850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78D99A63">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2"/>
    <w:p w14:paraId="4F04BA3B">
      <w:pPr>
        <w:pStyle w:val="89"/>
        <w:spacing w:before="900" w:after="360"/>
      </w:pPr>
      <w:bookmarkStart w:id="23" w:name="_Toc214003825"/>
      <w:bookmarkStart w:id="24" w:name="BookMark2"/>
      <w:r>
        <w:rPr>
          <w:rFonts w:hint="eastAsia"/>
          <w:spacing w:val="320"/>
        </w:rPr>
        <w:t>前</w:t>
      </w:r>
      <w:r>
        <w:rPr>
          <w:rFonts w:hint="eastAsia"/>
        </w:rPr>
        <w:t>言</w:t>
      </w:r>
      <w:bookmarkEnd w:id="23"/>
    </w:p>
    <w:p w14:paraId="0369436D">
      <w:pPr>
        <w:pStyle w:val="56"/>
        <w:ind w:firstLine="420"/>
      </w:pPr>
      <w:r>
        <w:rPr>
          <w:rFonts w:hint="eastAsia"/>
        </w:rPr>
        <w:t>本文件按照GB/T 1.1—2020《标准化工作导则  第1部分：标准化文件的结构和起草规则》的规定起草。</w:t>
      </w:r>
    </w:p>
    <w:p w14:paraId="784C65D7">
      <w:pPr>
        <w:pStyle w:val="56"/>
        <w:ind w:firstLine="420"/>
      </w:pPr>
      <w:r>
        <w:rPr>
          <w:rFonts w:hint="eastAsia"/>
        </w:rPr>
        <w:t>请注意本文件的某些内容可能涉及专利。本文件的发布机构不承担识别专利的责任。</w:t>
      </w:r>
    </w:p>
    <w:p w14:paraId="25EBE09E">
      <w:pPr>
        <w:pStyle w:val="56"/>
        <w:ind w:firstLine="420"/>
      </w:pPr>
      <w:r>
        <w:rPr>
          <w:rFonts w:hint="eastAsia"/>
        </w:rPr>
        <w:t>本文件由中国农业生产资料流通协会提出并归口。</w:t>
      </w:r>
    </w:p>
    <w:p w14:paraId="6514DC72">
      <w:pPr>
        <w:pStyle w:val="56"/>
        <w:ind w:firstLine="420"/>
      </w:pPr>
      <w:r>
        <w:rPr>
          <w:rFonts w:hint="eastAsia"/>
        </w:rPr>
        <w:t>本文件起草单位：中国农业生产资料流通协会、中农聚田(北京)农业科技有限公司、安徽辉隆农资集团股份有限公司、浙农集团股份有限公司、黑龙江倍丰农业生产资料集团有限公司、广东天禾农资股份有限公司。</w:t>
      </w:r>
    </w:p>
    <w:p w14:paraId="6C59F374">
      <w:pPr>
        <w:pStyle w:val="56"/>
        <w:ind w:firstLine="420"/>
      </w:pPr>
      <w:r>
        <w:rPr>
          <w:rFonts w:hint="eastAsia"/>
        </w:rPr>
        <w:t>本文件主要起草人：龙文、符纯华、程晓霖、许锋、乔利英、王晓雪、丁俊杰、李智伟、周福燕、程婷婷、姜俊、谢维、张宇航、陈勇波。</w:t>
      </w:r>
    </w:p>
    <w:p w14:paraId="51DD9483">
      <w:pPr>
        <w:pStyle w:val="56"/>
        <w:ind w:firstLine="420"/>
      </w:pPr>
    </w:p>
    <w:p w14:paraId="3C974AAB">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4"/>
    <w:p w14:paraId="13185D3D">
      <w:pPr>
        <w:spacing w:line="20" w:lineRule="exact"/>
        <w:jc w:val="center"/>
        <w:rPr>
          <w:rFonts w:hint="eastAsia" w:ascii="黑体" w:hAnsi="黑体" w:eastAsia="黑体"/>
          <w:sz w:val="32"/>
          <w:szCs w:val="32"/>
        </w:rPr>
      </w:pPr>
      <w:bookmarkStart w:id="25" w:name="BookMark4"/>
    </w:p>
    <w:p w14:paraId="28BD9BD8">
      <w:pPr>
        <w:spacing w:line="20" w:lineRule="exact"/>
        <w:jc w:val="center"/>
        <w:rPr>
          <w:rFonts w:hint="eastAsia" w:ascii="黑体" w:hAnsi="黑体" w:eastAsia="黑体"/>
          <w:sz w:val="32"/>
          <w:szCs w:val="32"/>
        </w:rPr>
      </w:pPr>
    </w:p>
    <w:sdt>
      <w:sdtPr>
        <w:tag w:val="NEW_STAND_NAME"/>
        <w:id w:val="595910757"/>
        <w:lock w:val="sdtLocked"/>
        <w:placeholder>
          <w:docPart w:val="E19EF493D3E7428793A378A39A6D124F"/>
        </w:placeholder>
      </w:sdtPr>
      <w:sdtContent>
        <w:p w14:paraId="0D10672B">
          <w:pPr>
            <w:pStyle w:val="177"/>
            <w:spacing w:before="2" w:beforeLines="1" w:after="528" w:afterLines="220"/>
            <w:rPr>
              <w:rFonts w:hint="eastAsia"/>
            </w:rPr>
          </w:pPr>
          <w:bookmarkStart w:id="26" w:name="NEW_STAND_NAME"/>
          <w:r>
            <w:rPr>
              <w:rFonts w:hint="eastAsia"/>
            </w:rPr>
            <w:t>农资（储备）库建设与管理规范</w:t>
          </w:r>
        </w:p>
      </w:sdtContent>
    </w:sdt>
    <w:bookmarkEnd w:id="26"/>
    <w:p w14:paraId="49528ADA">
      <w:pPr>
        <w:pStyle w:val="104"/>
        <w:spacing w:before="240" w:after="240"/>
      </w:pPr>
      <w:bookmarkStart w:id="27" w:name="_Toc214003826"/>
      <w:bookmarkStart w:id="28" w:name="_Toc97195091"/>
      <w:bookmarkStart w:id="29" w:name="_Toc213853799"/>
      <w:bookmarkStart w:id="30" w:name="_Toc26986771"/>
      <w:bookmarkStart w:id="31" w:name="_Toc26986530"/>
      <w:bookmarkStart w:id="32" w:name="_Toc24884218"/>
      <w:bookmarkStart w:id="33" w:name="_Toc24884211"/>
      <w:bookmarkStart w:id="34" w:name="_Toc26648465"/>
      <w:bookmarkStart w:id="35" w:name="_Toc17233333"/>
      <w:bookmarkStart w:id="36" w:name="_Toc26718930"/>
      <w:bookmarkStart w:id="37" w:name="_Toc17233325"/>
      <w:r>
        <w:rPr>
          <w:rFonts w:hint="eastAsia"/>
        </w:rPr>
        <w:t>范围</w:t>
      </w:r>
      <w:bookmarkEnd w:id="27"/>
      <w:bookmarkEnd w:id="28"/>
      <w:bookmarkEnd w:id="29"/>
      <w:bookmarkEnd w:id="30"/>
      <w:bookmarkEnd w:id="31"/>
      <w:bookmarkEnd w:id="32"/>
      <w:bookmarkEnd w:id="33"/>
      <w:bookmarkEnd w:id="34"/>
      <w:bookmarkEnd w:id="35"/>
      <w:bookmarkEnd w:id="36"/>
      <w:bookmarkEnd w:id="37"/>
    </w:p>
    <w:p w14:paraId="7EA5A9CE">
      <w:pPr>
        <w:pStyle w:val="56"/>
        <w:ind w:firstLine="420"/>
      </w:pPr>
      <w:bookmarkStart w:id="38" w:name="_Toc17233334"/>
      <w:bookmarkStart w:id="39" w:name="_Toc26648466"/>
      <w:bookmarkStart w:id="40" w:name="_Toc24884212"/>
      <w:bookmarkStart w:id="41" w:name="_Toc24884219"/>
      <w:bookmarkStart w:id="42" w:name="_Toc17233326"/>
      <w:r>
        <w:rPr>
          <w:rFonts w:hint="eastAsia"/>
        </w:rPr>
        <w:t>本文件规定了农资（储备）库的总体要求、建设要求、管理要求等内容。</w:t>
      </w:r>
    </w:p>
    <w:p w14:paraId="34703128">
      <w:pPr>
        <w:pStyle w:val="56"/>
        <w:ind w:firstLine="420"/>
      </w:pPr>
      <w:r>
        <w:rPr>
          <w:rFonts w:hint="eastAsia"/>
        </w:rPr>
        <w:t>本文件适用于农资（储备）库的建设与管理。</w:t>
      </w:r>
    </w:p>
    <w:p w14:paraId="4F1AA5F8">
      <w:pPr>
        <w:pStyle w:val="104"/>
        <w:spacing w:before="240" w:after="240"/>
      </w:pPr>
      <w:bookmarkStart w:id="43" w:name="_Toc26986531"/>
      <w:bookmarkStart w:id="44" w:name="_Toc97195092"/>
      <w:bookmarkStart w:id="45" w:name="_Toc213853800"/>
      <w:bookmarkStart w:id="46" w:name="_Toc214003827"/>
      <w:bookmarkStart w:id="47" w:name="_Toc26986772"/>
      <w:bookmarkStart w:id="48" w:name="_Toc26718931"/>
      <w:r>
        <w:rPr>
          <w:rFonts w:hint="eastAsia"/>
        </w:rPr>
        <w:t>规范性引用文件</w:t>
      </w:r>
      <w:bookmarkEnd w:id="38"/>
      <w:bookmarkEnd w:id="39"/>
      <w:bookmarkEnd w:id="40"/>
      <w:bookmarkEnd w:id="41"/>
      <w:bookmarkEnd w:id="42"/>
      <w:bookmarkEnd w:id="43"/>
      <w:bookmarkEnd w:id="44"/>
      <w:bookmarkEnd w:id="45"/>
      <w:bookmarkEnd w:id="46"/>
      <w:bookmarkEnd w:id="47"/>
      <w:bookmarkEnd w:id="48"/>
    </w:p>
    <w:sdt>
      <w:sdtPr>
        <w:rPr>
          <w:rFonts w:hint="eastAsia"/>
        </w:rPr>
        <w:id w:val="715848253"/>
        <w:placeholder>
          <w:docPart w:val="FBCBD77D5BEF4A09846D20054C24776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C5DFE26">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CEBD697">
      <w:pPr>
        <w:pStyle w:val="56"/>
        <w:ind w:firstLine="420"/>
      </w:pPr>
      <w:r>
        <w:rPr>
          <w:rFonts w:hint="eastAsia"/>
        </w:rPr>
        <w:t>GB 2894  安全标志及其使用导则</w:t>
      </w:r>
    </w:p>
    <w:p w14:paraId="0E943015">
      <w:pPr>
        <w:pStyle w:val="56"/>
        <w:ind w:firstLine="420"/>
      </w:pPr>
      <w:r>
        <w:rPr>
          <w:rFonts w:hint="eastAsia"/>
        </w:rPr>
        <w:t>GB 15603  危险化学品仓库储存通则</w:t>
      </w:r>
    </w:p>
    <w:p w14:paraId="66054535">
      <w:pPr>
        <w:pStyle w:val="56"/>
        <w:ind w:firstLine="420"/>
      </w:pPr>
      <w:r>
        <w:rPr>
          <w:rFonts w:hint="eastAsia"/>
        </w:rPr>
        <w:t>GB/T 28581  通用仓库及库区规划设计参数</w:t>
      </w:r>
    </w:p>
    <w:p w14:paraId="733CE934">
      <w:pPr>
        <w:pStyle w:val="56"/>
        <w:ind w:firstLine="420"/>
      </w:pPr>
      <w:r>
        <w:rPr>
          <w:rFonts w:hint="eastAsia"/>
        </w:rPr>
        <w:t>GB/T 37070-2018  农业生产资料供应服务 农资仓储服务规范</w:t>
      </w:r>
    </w:p>
    <w:p w14:paraId="02CB5FC3">
      <w:pPr>
        <w:pStyle w:val="56"/>
        <w:ind w:firstLine="420"/>
      </w:pPr>
      <w:r>
        <w:rPr>
          <w:rFonts w:hint="eastAsia"/>
        </w:rPr>
        <w:t>GB 50016  建筑设计防火规范</w:t>
      </w:r>
    </w:p>
    <w:p w14:paraId="4F2576A8">
      <w:pPr>
        <w:pStyle w:val="56"/>
        <w:ind w:firstLine="420"/>
      </w:pPr>
      <w:r>
        <w:rPr>
          <w:rFonts w:hint="eastAsia"/>
        </w:rPr>
        <w:t>GB 50187-2012  工业企业总平面设计规范</w:t>
      </w:r>
    </w:p>
    <w:p w14:paraId="6B45FB6C">
      <w:pPr>
        <w:pStyle w:val="56"/>
        <w:ind w:firstLine="420"/>
      </w:pPr>
      <w:r>
        <w:rPr>
          <w:rFonts w:hint="eastAsia"/>
        </w:rPr>
        <w:t>GB 51157  物流建筑设计规范</w:t>
      </w:r>
    </w:p>
    <w:p w14:paraId="76CB60C2">
      <w:pPr>
        <w:pStyle w:val="56"/>
        <w:ind w:firstLine="420"/>
      </w:pPr>
      <w:r>
        <w:rPr>
          <w:rFonts w:hint="eastAsia"/>
        </w:rPr>
        <w:t>GB 55031  民用建筑通用规范</w:t>
      </w:r>
    </w:p>
    <w:p w14:paraId="734BDC7F">
      <w:pPr>
        <w:pStyle w:val="56"/>
        <w:ind w:firstLine="420"/>
      </w:pPr>
      <w:r>
        <w:rPr>
          <w:rFonts w:hint="eastAsia"/>
        </w:rPr>
        <w:t>GB 55037  建筑防火通用规范</w:t>
      </w:r>
    </w:p>
    <w:p w14:paraId="4056F53D">
      <w:pPr>
        <w:pStyle w:val="56"/>
        <w:ind w:firstLine="420"/>
      </w:pPr>
      <w:r>
        <w:rPr>
          <w:rFonts w:hint="eastAsia"/>
        </w:rPr>
        <w:t>SB/T 11164  绿色仓库要求与评价</w:t>
      </w:r>
    </w:p>
    <w:p w14:paraId="630AFDCC">
      <w:pPr>
        <w:pStyle w:val="104"/>
        <w:spacing w:before="240" w:after="240"/>
      </w:pPr>
      <w:bookmarkStart w:id="49" w:name="_Toc97195093"/>
      <w:bookmarkStart w:id="50" w:name="_Toc214003828"/>
      <w:bookmarkStart w:id="51" w:name="_Toc213853801"/>
      <w:r>
        <w:rPr>
          <w:rFonts w:hint="eastAsia"/>
          <w:szCs w:val="21"/>
        </w:rPr>
        <w:t>术语和定义</w:t>
      </w:r>
      <w:bookmarkEnd w:id="49"/>
      <w:bookmarkEnd w:id="50"/>
      <w:bookmarkEnd w:id="51"/>
    </w:p>
    <w:sdt>
      <w:sdtPr>
        <w:id w:val="-1"/>
        <w:placeholder>
          <w:docPart w:val="64E9C499381F46C7832E4D69E49D057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7B776BE">
          <w:pPr>
            <w:pStyle w:val="56"/>
            <w:ind w:firstLine="420"/>
          </w:pPr>
          <w:bookmarkStart w:id="52" w:name="_Toc26986532"/>
          <w:bookmarkEnd w:id="52"/>
          <w:r>
            <w:t>GB/T 43420界定的以及下列术语和定义适用于本文件。</w:t>
          </w:r>
        </w:p>
      </w:sdtContent>
    </w:sdt>
    <w:p w14:paraId="145325A0">
      <w:pPr>
        <w:pStyle w:val="223"/>
        <w:numPr>
          <w:ilvl w:val="0"/>
          <w:numId w:val="0"/>
        </w:numPr>
        <w:ind w:left="420"/>
        <w:rPr>
          <w:rFonts w:hint="eastAsia" w:ascii="黑体" w:hAnsi="黑体" w:eastAsia="黑体"/>
        </w:rPr>
      </w:pPr>
    </w:p>
    <w:p w14:paraId="54D7335B">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农业生产资料  agricultural production means</w:t>
      </w:r>
    </w:p>
    <w:p w14:paraId="5EDA07CB">
      <w:pPr>
        <w:pStyle w:val="56"/>
        <w:ind w:firstLine="422"/>
        <w:rPr>
          <w:b/>
          <w:bCs/>
        </w:rPr>
      </w:pPr>
      <w:r>
        <w:rPr>
          <w:rFonts w:hint="eastAsia"/>
          <w:b/>
          <w:bCs/>
        </w:rPr>
        <w:t>农资</w:t>
      </w:r>
    </w:p>
    <w:p w14:paraId="6D69D980">
      <w:pPr>
        <w:pStyle w:val="56"/>
        <w:ind w:firstLine="420"/>
      </w:pPr>
      <w:r>
        <w:rPr>
          <w:rFonts w:hint="eastAsia"/>
        </w:rPr>
        <w:t>农业生产所需投入的物质资料。</w:t>
      </w:r>
    </w:p>
    <w:p w14:paraId="10C9ECC7">
      <w:pPr>
        <w:pStyle w:val="179"/>
      </w:pPr>
      <w:r>
        <w:rPr>
          <w:rFonts w:hint="eastAsia"/>
        </w:rPr>
        <w:t>通常包括肥料、农药、农膜、种子、饲料和饲料添加剂、兽药、农机具及配件等。</w:t>
      </w:r>
    </w:p>
    <w:p w14:paraId="2D8D49B6">
      <w:pPr>
        <w:pStyle w:val="56"/>
        <w:ind w:firstLine="420"/>
      </w:pPr>
      <w:r>
        <w:rPr>
          <w:rFonts w:hint="eastAsia"/>
        </w:rPr>
        <w:t>[来源:GB/T 43420-2023,3.1]</w:t>
      </w:r>
    </w:p>
    <w:p w14:paraId="2051A688">
      <w:pPr>
        <w:pStyle w:val="56"/>
        <w:ind w:firstLine="420"/>
      </w:pPr>
    </w:p>
    <w:p w14:paraId="776E79F5">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农资（储备）库  </w:t>
      </w:r>
      <w:r>
        <w:rPr>
          <w:rFonts w:ascii="黑体" w:hAnsi="黑体" w:eastAsia="黑体"/>
        </w:rPr>
        <w:t>the (reserve) warehouse of agricultural production means</w:t>
      </w:r>
    </w:p>
    <w:p w14:paraId="6449A1F0">
      <w:pPr>
        <w:pStyle w:val="56"/>
        <w:ind w:firstLine="420"/>
      </w:pPr>
      <w:r>
        <w:rPr>
          <w:rFonts w:hint="eastAsia"/>
        </w:rPr>
        <w:t>优先用于存放国家和地方政策性农资储备的仓库。</w:t>
      </w:r>
    </w:p>
    <w:p w14:paraId="77D670CA">
      <w:pPr>
        <w:pStyle w:val="104"/>
        <w:spacing w:before="240" w:after="240"/>
      </w:pPr>
      <w:bookmarkStart w:id="53" w:name="_Toc214003829"/>
      <w:r>
        <w:rPr>
          <w:rFonts w:hint="eastAsia"/>
        </w:rPr>
        <w:t>总体要求</w:t>
      </w:r>
      <w:bookmarkEnd w:id="53"/>
    </w:p>
    <w:p w14:paraId="78B1F834">
      <w:pPr>
        <w:pStyle w:val="162"/>
      </w:pPr>
      <w:r>
        <w:rPr>
          <w:rFonts w:hint="eastAsia"/>
        </w:rPr>
        <w:t>满足肥料等重要农资储备需求。</w:t>
      </w:r>
    </w:p>
    <w:p w14:paraId="5E8BE8C9">
      <w:pPr>
        <w:pStyle w:val="162"/>
      </w:pPr>
      <w:r>
        <w:rPr>
          <w:rFonts w:hint="eastAsia"/>
        </w:rPr>
        <w:t>宜优先满足政策性农资储备需求，兼顾其他商业性农资存放需要。</w:t>
      </w:r>
    </w:p>
    <w:p w14:paraId="386E57A3">
      <w:pPr>
        <w:pStyle w:val="162"/>
      </w:pPr>
      <w:r>
        <w:rPr>
          <w:rFonts w:hint="eastAsia"/>
        </w:rPr>
        <w:t>应符合国家农业现代化发展趋势，利用现代科学技术提升仓储综合能力，符合绿色高质量发展要求。</w:t>
      </w:r>
    </w:p>
    <w:p w14:paraId="7C24E246">
      <w:pPr>
        <w:pStyle w:val="104"/>
        <w:spacing w:before="240" w:after="240"/>
      </w:pPr>
      <w:bookmarkStart w:id="54" w:name="_Toc214003830"/>
      <w:r>
        <w:rPr>
          <w:rFonts w:hint="eastAsia"/>
        </w:rPr>
        <w:t>建设要求</w:t>
      </w:r>
      <w:bookmarkEnd w:id="54"/>
    </w:p>
    <w:p w14:paraId="2E09A45F">
      <w:pPr>
        <w:pStyle w:val="105"/>
        <w:spacing w:before="120" w:after="120"/>
      </w:pPr>
      <w:bookmarkStart w:id="55" w:name="_Toc214003831"/>
      <w:r>
        <w:rPr>
          <w:rFonts w:hint="eastAsia"/>
        </w:rPr>
        <w:t>基本要求</w:t>
      </w:r>
      <w:bookmarkEnd w:id="55"/>
    </w:p>
    <w:p w14:paraId="42F39D9D">
      <w:pPr>
        <w:pStyle w:val="165"/>
      </w:pPr>
      <w:r>
        <w:rPr>
          <w:rFonts w:hint="eastAsia"/>
        </w:rPr>
        <w:t>宜符合当地农资生产、流通、消费的实际情况和发展趋势，有效提高农资仓储流通效率。</w:t>
      </w:r>
    </w:p>
    <w:p w14:paraId="16F2665B">
      <w:pPr>
        <w:pStyle w:val="165"/>
      </w:pPr>
      <w:r>
        <w:rPr>
          <w:rFonts w:hint="eastAsia"/>
        </w:rPr>
        <w:t>宜做到选址适宜、布局合理、规模适当、安全经济、绿色环保。</w:t>
      </w:r>
    </w:p>
    <w:p w14:paraId="6C4D6E1F">
      <w:pPr>
        <w:pStyle w:val="165"/>
      </w:pPr>
      <w:r>
        <w:rPr>
          <w:rFonts w:hint="eastAsia"/>
        </w:rPr>
        <w:t>宜充分利用社会公用设施和原有设施，避免重复建设。</w:t>
      </w:r>
    </w:p>
    <w:p w14:paraId="71869CE3">
      <w:pPr>
        <w:pStyle w:val="105"/>
        <w:spacing w:before="120" w:after="120"/>
      </w:pPr>
      <w:bookmarkStart w:id="56" w:name="_Toc214003832"/>
      <w:r>
        <w:rPr>
          <w:rFonts w:hint="eastAsia"/>
        </w:rPr>
        <w:t>规模等级划分</w:t>
      </w:r>
      <w:bookmarkEnd w:id="56"/>
    </w:p>
    <w:p w14:paraId="543D9398">
      <w:pPr>
        <w:pStyle w:val="56"/>
        <w:ind w:firstLine="420"/>
        <w:rPr>
          <w:highlight w:val="none"/>
        </w:rPr>
      </w:pPr>
      <w:r>
        <w:rPr>
          <w:rFonts w:hint="eastAsia"/>
        </w:rPr>
        <w:t>农资（</w:t>
      </w:r>
      <w:r>
        <w:rPr>
          <w:rFonts w:hint="eastAsia"/>
          <w:highlight w:val="none"/>
        </w:rPr>
        <w:t>储备）库建设规模按综合存储库容或建筑总面积划分为中心库、省域库和县域库，具体</w:t>
      </w:r>
      <w:r>
        <w:rPr>
          <w:rFonts w:hint="eastAsia"/>
          <w:highlight w:val="none"/>
          <w:lang w:eastAsia="zh-CN"/>
        </w:rPr>
        <w:t>分类标准</w:t>
      </w:r>
      <w:r>
        <w:rPr>
          <w:rFonts w:hint="eastAsia"/>
          <w:highlight w:val="none"/>
        </w:rPr>
        <w:t>见表1。</w:t>
      </w:r>
      <w:r>
        <w:rPr>
          <w:rFonts w:hint="eastAsia"/>
          <w:highlight w:val="none"/>
          <w:lang w:eastAsia="zh-CN"/>
        </w:rPr>
        <w:t>其中，</w:t>
      </w:r>
      <w:r>
        <w:rPr>
          <w:rFonts w:hint="eastAsia"/>
          <w:highlight w:val="none"/>
        </w:rPr>
        <w:t>中心库配送半径不宜少于500km，省域库配送半径不宜少于200km，县域库配送半径不少于30km。</w:t>
      </w:r>
    </w:p>
    <w:p w14:paraId="5954140C">
      <w:pPr>
        <w:pStyle w:val="112"/>
        <w:spacing w:before="120" w:after="120"/>
        <w:ind w:left="420"/>
        <w:rPr>
          <w:rFonts w:ascii="宋体"/>
        </w:rPr>
      </w:pPr>
      <w:r>
        <w:rPr>
          <w:rFonts w:hint="eastAsia"/>
        </w:rPr>
        <w:t>农资（储备）库综合存储库容、建筑总面积指标</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23"/>
        <w:gridCol w:w="3125"/>
        <w:gridCol w:w="3126"/>
      </w:tblGrid>
      <w:tr w14:paraId="731386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66" w:type="pct"/>
            <w:tcBorders>
              <w:top w:val="single" w:color="auto" w:sz="8" w:space="0"/>
              <w:left w:val="single" w:color="auto" w:sz="8" w:space="0"/>
              <w:bottom w:val="single" w:color="auto" w:sz="8" w:space="0"/>
              <w:right w:val="single" w:color="auto" w:sz="4" w:space="0"/>
            </w:tcBorders>
            <w:vAlign w:val="center"/>
          </w:tcPr>
          <w:p w14:paraId="0991E46F">
            <w:pPr>
              <w:pStyle w:val="56"/>
              <w:ind w:firstLine="420"/>
            </w:pPr>
            <w:r>
              <w:rPr>
                <w:rFonts w:hint="eastAsia"/>
              </w:rPr>
              <w:t>类型</w:t>
            </w:r>
          </w:p>
        </w:tc>
        <w:tc>
          <w:tcPr>
            <w:tcW w:w="1667" w:type="pct"/>
            <w:tcBorders>
              <w:top w:val="single" w:color="auto" w:sz="8" w:space="0"/>
              <w:left w:val="single" w:color="auto" w:sz="4" w:space="0"/>
              <w:bottom w:val="single" w:color="auto" w:sz="8" w:space="0"/>
              <w:right w:val="single" w:color="auto" w:sz="4" w:space="0"/>
            </w:tcBorders>
            <w:vAlign w:val="center"/>
          </w:tcPr>
          <w:p w14:paraId="3CF52228">
            <w:pPr>
              <w:pStyle w:val="56"/>
              <w:ind w:firstLine="420"/>
            </w:pPr>
            <w:r>
              <w:rPr>
                <w:rFonts w:hint="eastAsia"/>
              </w:rPr>
              <w:t>综合存储库容（t）</w:t>
            </w:r>
          </w:p>
        </w:tc>
        <w:tc>
          <w:tcPr>
            <w:tcW w:w="1667" w:type="pct"/>
            <w:tcBorders>
              <w:top w:val="single" w:color="auto" w:sz="8" w:space="0"/>
              <w:left w:val="single" w:color="auto" w:sz="4" w:space="0"/>
              <w:bottom w:val="single" w:color="auto" w:sz="8" w:space="0"/>
              <w:right w:val="single" w:color="auto" w:sz="8" w:space="0"/>
            </w:tcBorders>
          </w:tcPr>
          <w:p w14:paraId="232C3C56">
            <w:pPr>
              <w:pStyle w:val="56"/>
              <w:ind w:firstLine="420"/>
            </w:pPr>
            <w:r>
              <w:rPr>
                <w:rFonts w:hint="eastAsia"/>
              </w:rPr>
              <w:t>建筑总面积（㎡）</w:t>
            </w:r>
          </w:p>
        </w:tc>
      </w:tr>
      <w:tr w14:paraId="3783F1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66" w:type="pct"/>
            <w:tcBorders>
              <w:top w:val="single" w:color="auto" w:sz="8" w:space="0"/>
              <w:left w:val="single" w:color="auto" w:sz="8" w:space="0"/>
              <w:bottom w:val="single" w:color="auto" w:sz="4" w:space="0"/>
              <w:right w:val="single" w:color="auto" w:sz="4" w:space="0"/>
            </w:tcBorders>
          </w:tcPr>
          <w:p w14:paraId="4F2E3FEC">
            <w:pPr>
              <w:pStyle w:val="56"/>
              <w:ind w:firstLine="420"/>
            </w:pPr>
            <w:r>
              <w:rPr>
                <w:rFonts w:hint="eastAsia"/>
              </w:rPr>
              <w:t>中心库</w:t>
            </w:r>
          </w:p>
        </w:tc>
        <w:tc>
          <w:tcPr>
            <w:tcW w:w="1667" w:type="pct"/>
            <w:tcBorders>
              <w:top w:val="single" w:color="auto" w:sz="8" w:space="0"/>
              <w:left w:val="single" w:color="auto" w:sz="4" w:space="0"/>
              <w:bottom w:val="single" w:color="auto" w:sz="4" w:space="0"/>
              <w:right w:val="single" w:color="auto" w:sz="4" w:space="0"/>
            </w:tcBorders>
          </w:tcPr>
          <w:p w14:paraId="3C571A93">
            <w:pPr>
              <w:pStyle w:val="56"/>
              <w:ind w:firstLine="420"/>
            </w:pPr>
            <w:r>
              <w:rPr>
                <w:rFonts w:hint="eastAsia"/>
              </w:rPr>
              <w:t>≥40000</w:t>
            </w:r>
          </w:p>
        </w:tc>
        <w:tc>
          <w:tcPr>
            <w:tcW w:w="1667" w:type="pct"/>
            <w:tcBorders>
              <w:top w:val="single" w:color="auto" w:sz="8" w:space="0"/>
              <w:left w:val="single" w:color="auto" w:sz="4" w:space="0"/>
              <w:bottom w:val="single" w:color="auto" w:sz="4" w:space="0"/>
              <w:right w:val="single" w:color="auto" w:sz="8" w:space="0"/>
            </w:tcBorders>
          </w:tcPr>
          <w:p w14:paraId="74A34B12">
            <w:pPr>
              <w:pStyle w:val="56"/>
              <w:ind w:firstLine="420"/>
            </w:pPr>
            <w:r>
              <w:rPr>
                <w:rFonts w:hint="eastAsia"/>
              </w:rPr>
              <w:t>≥20000</w:t>
            </w:r>
          </w:p>
        </w:tc>
      </w:tr>
      <w:tr w14:paraId="4B9760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66" w:type="pct"/>
            <w:tcBorders>
              <w:top w:val="single" w:color="auto" w:sz="4" w:space="0"/>
              <w:left w:val="single" w:color="auto" w:sz="8" w:space="0"/>
              <w:bottom w:val="single" w:color="auto" w:sz="4" w:space="0"/>
              <w:right w:val="single" w:color="auto" w:sz="4" w:space="0"/>
            </w:tcBorders>
          </w:tcPr>
          <w:p w14:paraId="5BCC988B">
            <w:pPr>
              <w:pStyle w:val="56"/>
              <w:ind w:firstLine="420"/>
            </w:pPr>
            <w:r>
              <w:rPr>
                <w:rFonts w:hint="eastAsia"/>
              </w:rPr>
              <w:t>省域库</w:t>
            </w:r>
          </w:p>
        </w:tc>
        <w:tc>
          <w:tcPr>
            <w:tcW w:w="1667" w:type="pct"/>
            <w:tcBorders>
              <w:top w:val="single" w:color="auto" w:sz="4" w:space="0"/>
              <w:left w:val="single" w:color="auto" w:sz="4" w:space="0"/>
              <w:bottom w:val="single" w:color="auto" w:sz="4" w:space="0"/>
              <w:right w:val="single" w:color="auto" w:sz="4" w:space="0"/>
            </w:tcBorders>
          </w:tcPr>
          <w:p w14:paraId="53050594">
            <w:pPr>
              <w:pStyle w:val="56"/>
              <w:ind w:firstLine="420"/>
            </w:pPr>
            <w:r>
              <w:rPr>
                <w:rFonts w:hint="eastAsia"/>
              </w:rPr>
              <w:t>≥10000</w:t>
            </w:r>
          </w:p>
        </w:tc>
        <w:tc>
          <w:tcPr>
            <w:tcW w:w="1667" w:type="pct"/>
            <w:tcBorders>
              <w:top w:val="single" w:color="auto" w:sz="4" w:space="0"/>
              <w:left w:val="single" w:color="auto" w:sz="4" w:space="0"/>
              <w:bottom w:val="single" w:color="auto" w:sz="4" w:space="0"/>
              <w:right w:val="single" w:color="auto" w:sz="8" w:space="0"/>
            </w:tcBorders>
          </w:tcPr>
          <w:p w14:paraId="02B3ECFD">
            <w:pPr>
              <w:pStyle w:val="56"/>
              <w:ind w:firstLine="420"/>
            </w:pPr>
            <w:r>
              <w:rPr>
                <w:rFonts w:hint="eastAsia"/>
              </w:rPr>
              <w:t>≥6000</w:t>
            </w:r>
          </w:p>
        </w:tc>
      </w:tr>
      <w:tr w14:paraId="305F6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66" w:type="pct"/>
            <w:tcBorders>
              <w:top w:val="single" w:color="auto" w:sz="4" w:space="0"/>
              <w:left w:val="single" w:color="auto" w:sz="8" w:space="0"/>
              <w:bottom w:val="single" w:color="auto" w:sz="4" w:space="0"/>
              <w:right w:val="single" w:color="auto" w:sz="4" w:space="0"/>
            </w:tcBorders>
          </w:tcPr>
          <w:p w14:paraId="09698FD7">
            <w:pPr>
              <w:pStyle w:val="56"/>
              <w:ind w:firstLine="420"/>
            </w:pPr>
            <w:r>
              <w:rPr>
                <w:rFonts w:hint="eastAsia"/>
              </w:rPr>
              <w:t>县域库</w:t>
            </w:r>
          </w:p>
        </w:tc>
        <w:tc>
          <w:tcPr>
            <w:tcW w:w="1667" w:type="pct"/>
            <w:tcBorders>
              <w:top w:val="single" w:color="auto" w:sz="4" w:space="0"/>
              <w:left w:val="single" w:color="auto" w:sz="4" w:space="0"/>
              <w:bottom w:val="single" w:color="auto" w:sz="4" w:space="0"/>
              <w:right w:val="single" w:color="auto" w:sz="4" w:space="0"/>
            </w:tcBorders>
          </w:tcPr>
          <w:p w14:paraId="31BFDCC9">
            <w:pPr>
              <w:pStyle w:val="56"/>
              <w:ind w:firstLine="420"/>
            </w:pPr>
            <w:r>
              <w:rPr>
                <w:rFonts w:hint="eastAsia"/>
              </w:rPr>
              <w:t>≥3000</w:t>
            </w:r>
          </w:p>
        </w:tc>
        <w:tc>
          <w:tcPr>
            <w:tcW w:w="1667" w:type="pct"/>
            <w:tcBorders>
              <w:top w:val="single" w:color="auto" w:sz="4" w:space="0"/>
              <w:left w:val="single" w:color="auto" w:sz="4" w:space="0"/>
              <w:bottom w:val="single" w:color="auto" w:sz="4" w:space="0"/>
              <w:right w:val="single" w:color="auto" w:sz="8" w:space="0"/>
            </w:tcBorders>
          </w:tcPr>
          <w:p w14:paraId="2885CEE8">
            <w:pPr>
              <w:pStyle w:val="56"/>
              <w:ind w:firstLine="420"/>
              <w:rPr>
                <w:b/>
                <w:bCs/>
              </w:rPr>
            </w:pPr>
            <w:r>
              <w:rPr>
                <w:rFonts w:hint="eastAsia"/>
              </w:rPr>
              <w:t>≥2000</w:t>
            </w:r>
          </w:p>
        </w:tc>
      </w:tr>
      <w:tr w14:paraId="6692C8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00" w:type="pct"/>
            <w:gridSpan w:val="3"/>
            <w:tcBorders>
              <w:top w:val="single" w:color="auto" w:sz="4" w:space="0"/>
              <w:left w:val="single" w:color="auto" w:sz="8" w:space="0"/>
              <w:bottom w:val="single" w:color="auto" w:sz="8" w:space="0"/>
              <w:right w:val="single" w:color="auto" w:sz="8" w:space="0"/>
            </w:tcBorders>
          </w:tcPr>
          <w:p w14:paraId="567877A5">
            <w:pPr>
              <w:pStyle w:val="56"/>
              <w:ind w:firstLine="420"/>
            </w:pPr>
            <w:r>
              <w:rPr>
                <w:rFonts w:hint="eastAsia"/>
              </w:rPr>
              <w:t>注：建筑总面积根据属地的容积率要求，采</w:t>
            </w:r>
            <w:r>
              <w:rPr>
                <w:rFonts w:hint="eastAsia"/>
                <w:highlight w:val="none"/>
              </w:rPr>
              <w:t>用不同的建筑</w:t>
            </w:r>
            <w:r>
              <w:rPr>
                <w:rFonts w:hint="eastAsia"/>
                <w:highlight w:val="none"/>
                <w:lang w:eastAsia="zh-CN"/>
              </w:rPr>
              <w:t>型</w:t>
            </w:r>
            <w:r>
              <w:rPr>
                <w:rFonts w:hint="eastAsia"/>
                <w:strike w:val="0"/>
                <w:dstrike w:val="0"/>
                <w:highlight w:val="none"/>
                <w:lang w:eastAsia="zh-CN"/>
              </w:rPr>
              <w:t>式</w:t>
            </w:r>
            <w:r>
              <w:rPr>
                <w:rFonts w:hint="eastAsia"/>
              </w:rPr>
              <w:t>。</w:t>
            </w:r>
          </w:p>
        </w:tc>
      </w:tr>
    </w:tbl>
    <w:p w14:paraId="28222B31">
      <w:pPr>
        <w:pStyle w:val="105"/>
        <w:spacing w:before="120" w:after="120"/>
      </w:pPr>
      <w:bookmarkStart w:id="57" w:name="_Toc214003833"/>
      <w:r>
        <w:rPr>
          <w:rFonts w:hint="eastAsia"/>
        </w:rPr>
        <w:t>选址要求</w:t>
      </w:r>
      <w:bookmarkEnd w:id="57"/>
    </w:p>
    <w:p w14:paraId="41DFD117">
      <w:pPr>
        <w:pStyle w:val="165"/>
      </w:pPr>
      <w:r>
        <w:rPr>
          <w:rFonts w:hint="eastAsia"/>
        </w:rPr>
        <w:t>宜优先考虑在粮食主产</w:t>
      </w:r>
      <w:r>
        <w:rPr>
          <w:rFonts w:hint="eastAsia"/>
          <w:highlight w:val="none"/>
        </w:rPr>
        <w:t>区和产粮大县区域</w:t>
      </w:r>
      <w:r>
        <w:rPr>
          <w:rFonts w:hint="eastAsia"/>
          <w:highlight w:val="none"/>
          <w:lang w:eastAsia="zh-CN"/>
        </w:rPr>
        <w:t>、重要物流枢纽、农资集散地</w:t>
      </w:r>
      <w:r>
        <w:rPr>
          <w:rFonts w:hint="eastAsia"/>
          <w:highlight w:val="none"/>
        </w:rPr>
        <w:t>布点，并结合当地农资仓储设施存量与地方规划选点</w:t>
      </w:r>
      <w:r>
        <w:rPr>
          <w:rFonts w:hint="eastAsia"/>
        </w:rPr>
        <w:t>建设。</w:t>
      </w:r>
    </w:p>
    <w:p w14:paraId="42653479">
      <w:pPr>
        <w:pStyle w:val="165"/>
      </w:pPr>
      <w:r>
        <w:rPr>
          <w:rFonts w:hint="eastAsia"/>
        </w:rPr>
        <w:t>应避开污染源。</w:t>
      </w:r>
    </w:p>
    <w:p w14:paraId="3F9AECFC">
      <w:pPr>
        <w:pStyle w:val="165"/>
      </w:pPr>
      <w:r>
        <w:rPr>
          <w:rFonts w:hint="eastAsia"/>
        </w:rPr>
        <w:t>应避开基本农田、生态保护区等区域。</w:t>
      </w:r>
    </w:p>
    <w:p w14:paraId="35825005">
      <w:pPr>
        <w:pStyle w:val="165"/>
      </w:pPr>
      <w:r>
        <w:rPr>
          <w:rFonts w:hint="eastAsia"/>
        </w:rPr>
        <w:t>应避开高压线、地下光缆、电缆、油气管道等设施。</w:t>
      </w:r>
    </w:p>
    <w:p w14:paraId="6344ACCD">
      <w:pPr>
        <w:pStyle w:val="165"/>
      </w:pPr>
      <w:r>
        <w:rPr>
          <w:rFonts w:hint="eastAsia"/>
        </w:rPr>
        <w:t>宜具备可靠、适用的电源、水源及相对完善的通讯与信息网络等基础设施。</w:t>
      </w:r>
    </w:p>
    <w:p w14:paraId="5CA61E45">
      <w:pPr>
        <w:pStyle w:val="165"/>
      </w:pPr>
      <w:r>
        <w:rPr>
          <w:rFonts w:hint="eastAsia"/>
        </w:rPr>
        <w:t>宜符合GB 50187中3.0.1、3.0.10和3.0.14的相关要求。</w:t>
      </w:r>
    </w:p>
    <w:p w14:paraId="6BE42930">
      <w:pPr>
        <w:pStyle w:val="165"/>
      </w:pPr>
      <w:r>
        <w:rPr>
          <w:rFonts w:hint="eastAsia"/>
        </w:rPr>
        <w:t>宜临近铁路货运站（或专用线）、港口码头、高速公路、国道、省道等交通便利区域，进出仓库的道路无限行限制。</w:t>
      </w:r>
    </w:p>
    <w:p w14:paraId="2B0CF466">
      <w:pPr>
        <w:pStyle w:val="165"/>
      </w:pPr>
      <w:r>
        <w:rPr>
          <w:rFonts w:hint="eastAsia"/>
        </w:rPr>
        <w:t>宜考虑地质条件稳定、地形平坦、地质坚固、排水良好的库址。</w:t>
      </w:r>
    </w:p>
    <w:p w14:paraId="2B08BE81">
      <w:pPr>
        <w:pStyle w:val="105"/>
        <w:spacing w:before="120" w:after="120"/>
      </w:pPr>
      <w:bookmarkStart w:id="58" w:name="_Toc214003834"/>
      <w:r>
        <w:rPr>
          <w:rFonts w:hint="eastAsia"/>
        </w:rPr>
        <w:t>农资（储备）库构成</w:t>
      </w:r>
      <w:bookmarkEnd w:id="58"/>
    </w:p>
    <w:p w14:paraId="09811F5A">
      <w:pPr>
        <w:pStyle w:val="165"/>
        <w:rPr>
          <w:highlight w:val="none"/>
        </w:rPr>
      </w:pPr>
      <w:r>
        <w:rPr>
          <w:rFonts w:hint="eastAsia"/>
        </w:rPr>
        <w:t>农资（储备）库建设内容包括房屋建筑、</w:t>
      </w:r>
      <w:r>
        <w:rPr>
          <w:rFonts w:hint="eastAsia"/>
          <w:highlight w:val="none"/>
        </w:rPr>
        <w:t>室外工程配套设施、辅助设备等。应根据实际需要及地方条件合理确定。</w:t>
      </w:r>
    </w:p>
    <w:p w14:paraId="399C73EC">
      <w:pPr>
        <w:pStyle w:val="165"/>
        <w:rPr>
          <w:highlight w:val="none"/>
        </w:rPr>
      </w:pPr>
      <w:r>
        <w:rPr>
          <w:rFonts w:hint="eastAsia"/>
          <w:highlight w:val="none"/>
        </w:rPr>
        <w:t>农资（储备）库房屋建筑包括仓储用房、经营管理与生活服务用房。仓储用房包括库房、装卸货棚等。经营管理与生活服务用房包括办公用房、机修间</w:t>
      </w:r>
      <w:r>
        <w:rPr>
          <w:rFonts w:hint="eastAsia"/>
          <w:highlight w:val="none"/>
          <w:lang w:eastAsia="zh-CN"/>
        </w:rPr>
        <w:t>、消防设备间、门房和地磅间</w:t>
      </w:r>
      <w:r>
        <w:rPr>
          <w:rFonts w:hint="eastAsia"/>
          <w:highlight w:val="none"/>
        </w:rPr>
        <w:t>等。</w:t>
      </w:r>
    </w:p>
    <w:p w14:paraId="4217EF5D">
      <w:pPr>
        <w:pStyle w:val="165"/>
      </w:pPr>
      <w:r>
        <w:rPr>
          <w:rFonts w:hint="eastAsia"/>
          <w:highlight w:val="none"/>
        </w:rPr>
        <w:t>农资（储备）库室外工程配套设施主要包括：</w:t>
      </w:r>
      <w:r>
        <w:rPr>
          <w:rFonts w:hint="eastAsia" w:hAnsi="宋体" w:cs="宋体"/>
          <w:kern w:val="2"/>
          <w:szCs w:val="21"/>
          <w:highlight w:val="none"/>
          <w:lang w:eastAsia="zh" w:bidi="ar"/>
        </w:rPr>
        <w:t>地坪</w:t>
      </w:r>
      <w:r>
        <w:rPr>
          <w:rFonts w:hint="eastAsia" w:hAnsi="宋体" w:cs="宋体"/>
          <w:kern w:val="2"/>
          <w:szCs w:val="21"/>
          <w:highlight w:val="none"/>
          <w:lang w:eastAsia="zh-CN" w:bidi="ar"/>
        </w:rPr>
        <w:t>（停车场地）</w:t>
      </w:r>
      <w:r>
        <w:rPr>
          <w:rFonts w:hint="eastAsia" w:hAnsi="宋体" w:cs="宋体"/>
          <w:kern w:val="2"/>
          <w:szCs w:val="21"/>
          <w:highlight w:val="none"/>
          <w:lang w:eastAsia="zh" w:bidi="ar"/>
        </w:rPr>
        <w:t>、道路</w:t>
      </w:r>
      <w:r>
        <w:rPr>
          <w:rFonts w:hint="eastAsia" w:hAnsi="宋体" w:cs="宋体"/>
          <w:kern w:val="2"/>
          <w:szCs w:val="21"/>
          <w:lang w:eastAsia="zh" w:bidi="ar"/>
        </w:rPr>
        <w:t>、围墙、电气外网（低压配电）、消防外网、排水、计量设施（地中衡）</w:t>
      </w:r>
      <w:r>
        <w:rPr>
          <w:rFonts w:hint="eastAsia"/>
        </w:rPr>
        <w:t>等。</w:t>
      </w:r>
    </w:p>
    <w:p w14:paraId="2B469954">
      <w:pPr>
        <w:pStyle w:val="165"/>
      </w:pPr>
      <w:r>
        <w:rPr>
          <w:rFonts w:hint="eastAsia"/>
        </w:rPr>
        <w:t>农资（储备）库辅助设备包括：作业设备、安全设备、信息化设备。</w:t>
      </w:r>
    </w:p>
    <w:p w14:paraId="4E74FD7D">
      <w:pPr>
        <w:pStyle w:val="105"/>
        <w:spacing w:before="120" w:after="120"/>
      </w:pPr>
      <w:bookmarkStart w:id="59" w:name="_Toc214003835"/>
      <w:r>
        <w:rPr>
          <w:rFonts w:hint="eastAsia"/>
        </w:rPr>
        <w:t>建筑与总平面要求</w:t>
      </w:r>
      <w:bookmarkEnd w:id="59"/>
    </w:p>
    <w:p w14:paraId="792D734E">
      <w:pPr>
        <w:pStyle w:val="65"/>
        <w:spacing w:before="120" w:after="120"/>
      </w:pPr>
      <w:r>
        <w:rPr>
          <w:rFonts w:hint="eastAsia"/>
        </w:rPr>
        <w:t>一般要求</w:t>
      </w:r>
    </w:p>
    <w:p w14:paraId="5FAD81CD">
      <w:pPr>
        <w:pStyle w:val="164"/>
        <w:rPr>
          <w:highlight w:val="none"/>
        </w:rPr>
      </w:pPr>
      <w:r>
        <w:rPr>
          <w:rFonts w:hint="eastAsia"/>
          <w:highlight w:val="none"/>
        </w:rPr>
        <w:t>农资（储备）库库区道路及库房内部行车道路宜设置成环形路网。</w:t>
      </w:r>
    </w:p>
    <w:p w14:paraId="1E598917">
      <w:pPr>
        <w:pStyle w:val="164"/>
      </w:pPr>
      <w:r>
        <w:rPr>
          <w:rFonts w:hint="eastAsia"/>
        </w:rPr>
        <w:t>危险化学品存储应符合GB 15603的相关要求。</w:t>
      </w:r>
    </w:p>
    <w:p w14:paraId="6BECF53E">
      <w:pPr>
        <w:pStyle w:val="65"/>
        <w:spacing w:before="120" w:after="120"/>
      </w:pPr>
      <w:bookmarkStart w:id="60" w:name="_Toc165317595"/>
      <w:bookmarkStart w:id="61" w:name="_Toc165382466"/>
      <w:r>
        <w:rPr>
          <w:rFonts w:hint="eastAsia"/>
        </w:rPr>
        <w:t>库房要求</w:t>
      </w:r>
      <w:bookmarkEnd w:id="60"/>
      <w:bookmarkEnd w:id="61"/>
    </w:p>
    <w:p w14:paraId="7C894D12">
      <w:pPr>
        <w:pStyle w:val="164"/>
      </w:pPr>
      <w:r>
        <w:rPr>
          <w:rFonts w:hint="eastAsia"/>
        </w:rPr>
        <w:t>根据选</w:t>
      </w:r>
      <w:r>
        <w:rPr>
          <w:rFonts w:hint="eastAsia"/>
          <w:highlight w:val="none"/>
        </w:rPr>
        <w:t>址气象、建材供应、工程地质、项目投资等条件，库房结构</w:t>
      </w:r>
      <w:r>
        <w:rPr>
          <w:rFonts w:hint="eastAsia"/>
          <w:highlight w:val="none"/>
          <w:lang w:eastAsia="zh-CN"/>
        </w:rPr>
        <w:t>型式</w:t>
      </w:r>
      <w:r>
        <w:rPr>
          <w:rFonts w:hint="eastAsia"/>
          <w:highlight w:val="none"/>
        </w:rPr>
        <w:t>宜采用钢筋混凝土结构或钢结构</w:t>
      </w:r>
      <w:r>
        <w:rPr>
          <w:rFonts w:hint="eastAsia"/>
          <w:highlight w:val="none"/>
          <w:lang w:eastAsia="zh-CN"/>
        </w:rPr>
        <w:t>型式</w:t>
      </w:r>
      <w:r>
        <w:rPr>
          <w:rFonts w:hint="eastAsia"/>
          <w:highlight w:val="none"/>
        </w:rPr>
        <w:t>。</w:t>
      </w:r>
    </w:p>
    <w:p w14:paraId="3A5EADFD">
      <w:pPr>
        <w:pStyle w:val="164"/>
        <w:rPr>
          <w:highlight w:val="none"/>
        </w:rPr>
      </w:pPr>
      <w:r>
        <w:rPr>
          <w:rFonts w:hint="eastAsia"/>
        </w:rPr>
        <w:t>宜为单层建筑。当建设多</w:t>
      </w:r>
      <w:r>
        <w:rPr>
          <w:rFonts w:hint="eastAsia"/>
          <w:highlight w:val="none"/>
        </w:rPr>
        <w:t>层库房时，需满足消防、装卸及运输作业等要求。</w:t>
      </w:r>
    </w:p>
    <w:p w14:paraId="5D45A5E4">
      <w:pPr>
        <w:pStyle w:val="164"/>
        <w:rPr>
          <w:highlight w:val="none"/>
        </w:rPr>
      </w:pPr>
      <w:r>
        <w:rPr>
          <w:rFonts w:hint="eastAsia"/>
          <w:highlight w:val="none"/>
        </w:rPr>
        <w:t>库房柱距宜为6m～12m，净高不少于5m</w:t>
      </w:r>
      <w:r>
        <w:rPr>
          <w:rFonts w:hint="eastAsia"/>
          <w:highlight w:val="none"/>
          <w:lang w:eastAsia="zh-CN"/>
        </w:rPr>
        <w:t>，用于堆放散货应适当增加净高</w:t>
      </w:r>
      <w:r>
        <w:rPr>
          <w:rFonts w:hint="eastAsia"/>
          <w:highlight w:val="none"/>
        </w:rPr>
        <w:t>。</w:t>
      </w:r>
    </w:p>
    <w:p w14:paraId="53F9F3A5">
      <w:pPr>
        <w:pStyle w:val="164"/>
      </w:pPr>
      <w:r>
        <w:rPr>
          <w:rFonts w:hint="eastAsia"/>
          <w:highlight w:val="none"/>
        </w:rPr>
        <w:t>库房屋面根据各地区气候条件设计相应的防水、保温、隔热措施，屋面坡度应符合GB 51157中9.4.1的要求，库房地坪应平整，应设置必要的防</w:t>
      </w:r>
      <w:r>
        <w:rPr>
          <w:rFonts w:hint="eastAsia"/>
        </w:rPr>
        <w:t>潮层。</w:t>
      </w:r>
    </w:p>
    <w:p w14:paraId="3704D649">
      <w:pPr>
        <w:pStyle w:val="164"/>
      </w:pPr>
      <w:r>
        <w:rPr>
          <w:rFonts w:hint="eastAsia"/>
        </w:rPr>
        <w:t>库房主要运输通道及库房地坪应能满足运输车辆满载行驶及堆码方式的要求，宜采用混凝土地坪，单层肥料库房的地面荷载取值不宜小于3t/㎡。</w:t>
      </w:r>
    </w:p>
    <w:p w14:paraId="4F9D8416">
      <w:pPr>
        <w:pStyle w:val="164"/>
      </w:pPr>
      <w:r>
        <w:rPr>
          <w:rFonts w:hint="eastAsia"/>
        </w:rPr>
        <w:t>装卸站台宜符合以下要求：</w:t>
      </w:r>
    </w:p>
    <w:p w14:paraId="68E12A77">
      <w:pPr>
        <w:pStyle w:val="132"/>
      </w:pPr>
      <w:r>
        <w:rPr>
          <w:rFonts w:hint="eastAsia"/>
        </w:rPr>
        <w:t>高度应根据库区主要运输车辆底板高度确定，宜采用1m～1.3m；</w:t>
      </w:r>
    </w:p>
    <w:p w14:paraId="2126F558">
      <w:pPr>
        <w:pStyle w:val="132"/>
      </w:pPr>
      <w:r>
        <w:rPr>
          <w:rFonts w:hint="eastAsia"/>
        </w:rPr>
        <w:t>宽度应根据作业机械类型、回转半径及作业特点等确定，不宜小于4.5m；</w:t>
      </w:r>
    </w:p>
    <w:p w14:paraId="6E9EE9D6">
      <w:pPr>
        <w:pStyle w:val="132"/>
      </w:pPr>
      <w:r>
        <w:rPr>
          <w:rFonts w:hint="eastAsia"/>
        </w:rPr>
        <w:t>荷载应与同层库房地面荷载相同。</w:t>
      </w:r>
    </w:p>
    <w:p w14:paraId="617DB1C6">
      <w:pPr>
        <w:pStyle w:val="164"/>
      </w:pPr>
      <w:r>
        <w:rPr>
          <w:rFonts w:hint="eastAsia"/>
        </w:rPr>
        <w:t>肥料库房门宜符合以下条件：</w:t>
      </w:r>
    </w:p>
    <w:p w14:paraId="2E19DCA9">
      <w:pPr>
        <w:pStyle w:val="132"/>
      </w:pPr>
      <w:r>
        <w:rPr>
          <w:rFonts w:hint="eastAsia"/>
        </w:rPr>
        <w:t>满足装卸机械出入需求，宽度大于4m的库门不宜采用手动卷帘门；</w:t>
      </w:r>
    </w:p>
    <w:p w14:paraId="3133102B">
      <w:pPr>
        <w:pStyle w:val="132"/>
      </w:pPr>
      <w:r>
        <w:rPr>
          <w:rFonts w:hint="eastAsia"/>
        </w:rPr>
        <w:t>电动控制的提升门、卷帘门应同时配置手动控制措施；</w:t>
      </w:r>
    </w:p>
    <w:p w14:paraId="0F00141F">
      <w:pPr>
        <w:pStyle w:val="132"/>
      </w:pPr>
      <w:r>
        <w:rPr>
          <w:rFonts w:hint="eastAsia"/>
        </w:rPr>
        <w:t>叉车作业的库门宽不宜小于2.75m，高度不宜小于3.5m。</w:t>
      </w:r>
    </w:p>
    <w:p w14:paraId="11109C37">
      <w:pPr>
        <w:pStyle w:val="164"/>
      </w:pPr>
      <w:r>
        <w:rPr>
          <w:rFonts w:hint="eastAsia"/>
        </w:rPr>
        <w:t>库房采光和通风宜符合以下条件：</w:t>
      </w:r>
    </w:p>
    <w:p w14:paraId="4545B13D">
      <w:pPr>
        <w:pStyle w:val="132"/>
      </w:pPr>
      <w:r>
        <w:rPr>
          <w:rFonts w:hint="eastAsia"/>
        </w:rPr>
        <w:t>采用自然采光和通风方式；</w:t>
      </w:r>
    </w:p>
    <w:p w14:paraId="1DAD4109">
      <w:pPr>
        <w:pStyle w:val="132"/>
      </w:pPr>
      <w:r>
        <w:rPr>
          <w:rFonts w:hint="eastAsia"/>
        </w:rPr>
        <w:t>外窗设置应避免阳光直射商品；</w:t>
      </w:r>
    </w:p>
    <w:p w14:paraId="1AA4C1E0">
      <w:pPr>
        <w:pStyle w:val="132"/>
      </w:pPr>
      <w:r>
        <w:rPr>
          <w:rFonts w:hint="eastAsia"/>
        </w:rPr>
        <w:t>在高温、高湿地区设置机械通风设施；</w:t>
      </w:r>
    </w:p>
    <w:p w14:paraId="3DAE6C6B">
      <w:pPr>
        <w:pStyle w:val="132"/>
      </w:pPr>
      <w:r>
        <w:rPr>
          <w:rFonts w:hint="eastAsia"/>
        </w:rPr>
        <w:t>通风窗方便开闭。</w:t>
      </w:r>
    </w:p>
    <w:p w14:paraId="678207A1">
      <w:pPr>
        <w:pStyle w:val="164"/>
      </w:pPr>
      <w:r>
        <w:rPr>
          <w:rFonts w:hint="eastAsia"/>
        </w:rPr>
        <w:t>库房作业运输通道宜符合以下要求：</w:t>
      </w:r>
    </w:p>
    <w:p w14:paraId="026BA5A0">
      <w:pPr>
        <w:pStyle w:val="132"/>
      </w:pPr>
      <w:r>
        <w:rPr>
          <w:rFonts w:hint="eastAsia"/>
        </w:rPr>
        <w:t>库内装卸肥料主通道宽度不宜少于4m，次通道宽度宜满足所采用的搬运、装卸等设备的作业要求；</w:t>
      </w:r>
    </w:p>
    <w:p w14:paraId="76BDA172">
      <w:pPr>
        <w:pStyle w:val="132"/>
      </w:pPr>
      <w:r>
        <w:rPr>
          <w:rFonts w:hint="eastAsia"/>
        </w:rPr>
        <w:t>库内装卸农药主通道宽度不宜少于1.5m；</w:t>
      </w:r>
    </w:p>
    <w:p w14:paraId="63E786B4">
      <w:pPr>
        <w:pStyle w:val="132"/>
      </w:pPr>
      <w:r>
        <w:rPr>
          <w:rFonts w:hint="eastAsia"/>
        </w:rPr>
        <w:t>库内道路净空应满足运输车辆和消防车辆的通行要求。</w:t>
      </w:r>
    </w:p>
    <w:p w14:paraId="442794B6">
      <w:pPr>
        <w:pStyle w:val="65"/>
        <w:spacing w:before="120" w:after="120"/>
      </w:pPr>
      <w:bookmarkStart w:id="62" w:name="_Toc165382467"/>
      <w:bookmarkStart w:id="63" w:name="_Toc165317596"/>
      <w:r>
        <w:rPr>
          <w:rFonts w:hint="eastAsia"/>
        </w:rPr>
        <w:t>相关构筑物</w:t>
      </w:r>
      <w:bookmarkEnd w:id="62"/>
      <w:bookmarkEnd w:id="63"/>
    </w:p>
    <w:p w14:paraId="3D80E47B">
      <w:pPr>
        <w:pStyle w:val="164"/>
      </w:pPr>
      <w:r>
        <w:rPr>
          <w:rFonts w:hint="eastAsia"/>
        </w:rPr>
        <w:t>货场、铁路站台罩棚宜采用轻钢结构，跨度宜为</w:t>
      </w:r>
      <w:r>
        <w:rPr>
          <w:rFonts w:hint="eastAsia" w:eastAsia="黑体"/>
        </w:rPr>
        <w:t>12m～18m</w:t>
      </w:r>
      <w:r>
        <w:rPr>
          <w:rFonts w:hint="eastAsia"/>
        </w:rPr>
        <w:t>。</w:t>
      </w:r>
    </w:p>
    <w:p w14:paraId="14CA1EC6">
      <w:pPr>
        <w:pStyle w:val="164"/>
      </w:pPr>
      <w:r>
        <w:rPr>
          <w:rFonts w:hint="eastAsia"/>
        </w:rPr>
        <w:t>货场（棚）应有排水措施。</w:t>
      </w:r>
    </w:p>
    <w:p w14:paraId="290B4E79">
      <w:pPr>
        <w:pStyle w:val="105"/>
        <w:spacing w:before="120" w:after="120"/>
      </w:pPr>
      <w:bookmarkStart w:id="64" w:name="_Toc162625594"/>
      <w:bookmarkStart w:id="65" w:name="_Toc165317597"/>
      <w:bookmarkStart w:id="66" w:name="_Toc162703214"/>
      <w:bookmarkStart w:id="67" w:name="_Toc162625694"/>
      <w:bookmarkStart w:id="68" w:name="_Toc165912070"/>
      <w:bookmarkStart w:id="69" w:name="_Toc162529321"/>
      <w:bookmarkStart w:id="70" w:name="_Toc165382500"/>
      <w:bookmarkStart w:id="71" w:name="_Toc165993362"/>
      <w:bookmarkStart w:id="72" w:name="_Toc165382468"/>
      <w:bookmarkStart w:id="73" w:name="_Toc161388486"/>
      <w:bookmarkStart w:id="74" w:name="_Toc161220220"/>
      <w:bookmarkStart w:id="75" w:name="_Toc162969396"/>
      <w:bookmarkStart w:id="76" w:name="_Toc214003836"/>
      <w:r>
        <w:rPr>
          <w:rFonts w:hint="eastAsia"/>
        </w:rPr>
        <w:t>辅助设备要求</w:t>
      </w:r>
      <w:bookmarkEnd w:id="64"/>
      <w:bookmarkEnd w:id="65"/>
      <w:bookmarkEnd w:id="66"/>
      <w:bookmarkEnd w:id="67"/>
      <w:bookmarkEnd w:id="68"/>
      <w:bookmarkEnd w:id="69"/>
      <w:bookmarkEnd w:id="70"/>
      <w:bookmarkEnd w:id="71"/>
      <w:bookmarkEnd w:id="72"/>
      <w:bookmarkEnd w:id="73"/>
      <w:bookmarkEnd w:id="74"/>
      <w:bookmarkEnd w:id="75"/>
      <w:bookmarkEnd w:id="76"/>
    </w:p>
    <w:p w14:paraId="31CE48CE">
      <w:pPr>
        <w:pStyle w:val="65"/>
        <w:spacing w:before="120" w:after="120"/>
      </w:pPr>
      <w:bookmarkStart w:id="77" w:name="_Toc165382470"/>
      <w:bookmarkStart w:id="78" w:name="_Toc165317599"/>
      <w:bookmarkStart w:id="79" w:name="_Toc161388487"/>
      <w:bookmarkStart w:id="80" w:name="_Toc161220221"/>
      <w:r>
        <w:rPr>
          <w:rFonts w:hint="eastAsia"/>
        </w:rPr>
        <w:t>作业设备</w:t>
      </w:r>
      <w:bookmarkEnd w:id="77"/>
      <w:bookmarkEnd w:id="78"/>
    </w:p>
    <w:p w14:paraId="51CBE04D">
      <w:pPr>
        <w:pStyle w:val="56"/>
        <w:ind w:firstLine="420"/>
      </w:pPr>
      <w:bookmarkStart w:id="81" w:name="_Toc162529328"/>
      <w:bookmarkStart w:id="82" w:name="_Toc162625596"/>
      <w:r>
        <w:rPr>
          <w:rFonts w:hint="eastAsia"/>
        </w:rPr>
        <w:t>宜符合以下要求：</w:t>
      </w:r>
      <w:bookmarkEnd w:id="81"/>
      <w:bookmarkEnd w:id="82"/>
    </w:p>
    <w:p w14:paraId="1568BF2B">
      <w:pPr>
        <w:pStyle w:val="132"/>
      </w:pPr>
      <w:bookmarkStart w:id="83" w:name="_Toc162529329"/>
      <w:r>
        <w:rPr>
          <w:rFonts w:hint="eastAsia"/>
        </w:rPr>
        <w:t>配备必要的叉车、吊机、传输带、</w:t>
      </w:r>
      <w:r>
        <w:rPr>
          <w:rFonts w:hint="eastAsia"/>
          <w:highlight w:val="none"/>
        </w:rPr>
        <w:t>装卸平台等机械装卸、搬运工具</w:t>
      </w:r>
      <w:r>
        <w:rPr>
          <w:rFonts w:hint="eastAsia"/>
          <w:highlight w:val="none"/>
          <w:lang w:eastAsia="zh-CN"/>
        </w:rPr>
        <w:t>，堆放散货可配备装载机</w:t>
      </w:r>
      <w:r>
        <w:rPr>
          <w:rFonts w:hint="eastAsia"/>
          <w:highlight w:val="none"/>
        </w:rPr>
        <w:t>。有条件可配备自动化码垛与装卸设备</w:t>
      </w:r>
      <w:r>
        <w:rPr>
          <w:rFonts w:hint="eastAsia"/>
        </w:rPr>
        <w:t>、托盘等附属设备</w:t>
      </w:r>
      <w:bookmarkEnd w:id="83"/>
      <w:r>
        <w:rPr>
          <w:rFonts w:hint="eastAsia"/>
        </w:rPr>
        <w:t>；</w:t>
      </w:r>
    </w:p>
    <w:p w14:paraId="6E7A9C40">
      <w:pPr>
        <w:pStyle w:val="132"/>
      </w:pPr>
      <w:bookmarkStart w:id="84" w:name="_Toc162529331"/>
      <w:r>
        <w:rPr>
          <w:rFonts w:hint="eastAsia"/>
        </w:rPr>
        <w:t>配备合格的计量设备</w:t>
      </w:r>
      <w:bookmarkEnd w:id="84"/>
      <w:r>
        <w:rPr>
          <w:rFonts w:hint="eastAsia"/>
        </w:rPr>
        <w:t>；</w:t>
      </w:r>
    </w:p>
    <w:p w14:paraId="70C935F6">
      <w:pPr>
        <w:pStyle w:val="132"/>
      </w:pPr>
      <w:bookmarkStart w:id="85" w:name="_Toc162529332"/>
      <w:r>
        <w:rPr>
          <w:rFonts w:hint="eastAsia"/>
        </w:rPr>
        <w:t>按操作规程使用设备，定期对设备进行检查、维修和保养，确保设备正常运转。</w:t>
      </w:r>
      <w:bookmarkEnd w:id="85"/>
    </w:p>
    <w:p w14:paraId="7228222A">
      <w:pPr>
        <w:pStyle w:val="65"/>
        <w:spacing w:before="120" w:after="120"/>
      </w:pPr>
      <w:bookmarkStart w:id="86" w:name="_Toc165317600"/>
      <w:bookmarkStart w:id="87" w:name="_Toc165382471"/>
      <w:r>
        <w:rPr>
          <w:rFonts w:hint="eastAsia"/>
        </w:rPr>
        <w:t>安全设备</w:t>
      </w:r>
      <w:bookmarkEnd w:id="86"/>
      <w:bookmarkEnd w:id="87"/>
    </w:p>
    <w:p w14:paraId="08B39295">
      <w:pPr>
        <w:pStyle w:val="56"/>
        <w:ind w:firstLine="420"/>
      </w:pPr>
      <w:bookmarkStart w:id="88" w:name="_Toc162529333"/>
      <w:bookmarkStart w:id="89" w:name="_Toc162625597"/>
      <w:r>
        <w:rPr>
          <w:rFonts w:hint="eastAsia"/>
        </w:rPr>
        <w:t>宜符合以下要求：</w:t>
      </w:r>
      <w:bookmarkEnd w:id="88"/>
      <w:bookmarkEnd w:id="89"/>
    </w:p>
    <w:p w14:paraId="6C0B1234">
      <w:pPr>
        <w:pStyle w:val="132"/>
      </w:pPr>
      <w:bookmarkStart w:id="90" w:name="_Toc162529334"/>
      <w:r>
        <w:rPr>
          <w:rFonts w:hint="eastAsia"/>
        </w:rPr>
        <w:t>满足GB 50016的相关要求，配备相应的消防设施设备，并进行检查维护；</w:t>
      </w:r>
      <w:bookmarkEnd w:id="90"/>
    </w:p>
    <w:p w14:paraId="7FC637F1">
      <w:pPr>
        <w:pStyle w:val="132"/>
      </w:pPr>
      <w:bookmarkStart w:id="91" w:name="_Toc162529335"/>
      <w:r>
        <w:rPr>
          <w:rFonts w:hint="eastAsia"/>
        </w:rPr>
        <w:t>配备相应的应急处理及救助设备；</w:t>
      </w:r>
      <w:bookmarkEnd w:id="91"/>
    </w:p>
    <w:p w14:paraId="725D1DD8">
      <w:pPr>
        <w:pStyle w:val="132"/>
      </w:pPr>
      <w:bookmarkStart w:id="92" w:name="_Toc162529336"/>
      <w:r>
        <w:rPr>
          <w:rFonts w:hint="eastAsia"/>
        </w:rPr>
        <w:t>库区进出口设置门禁系统，对进出人员、车辆进行登记和管理</w:t>
      </w:r>
      <w:bookmarkEnd w:id="92"/>
      <w:r>
        <w:rPr>
          <w:rFonts w:hint="eastAsia"/>
        </w:rPr>
        <w:t>。</w:t>
      </w:r>
    </w:p>
    <w:p w14:paraId="794EED10">
      <w:pPr>
        <w:pStyle w:val="65"/>
        <w:spacing w:before="120" w:after="120"/>
      </w:pPr>
      <w:bookmarkStart w:id="93" w:name="_Toc165382472"/>
      <w:bookmarkStart w:id="94" w:name="_Toc165912071"/>
      <w:bookmarkStart w:id="95" w:name="_Toc165317601"/>
      <w:bookmarkStart w:id="96" w:name="_Toc165382501"/>
      <w:r>
        <w:rPr>
          <w:rFonts w:hint="eastAsia"/>
        </w:rPr>
        <w:t>信息化</w:t>
      </w:r>
      <w:bookmarkEnd w:id="93"/>
      <w:bookmarkEnd w:id="94"/>
      <w:bookmarkEnd w:id="95"/>
      <w:bookmarkEnd w:id="96"/>
      <w:r>
        <w:rPr>
          <w:rFonts w:hint="eastAsia"/>
        </w:rPr>
        <w:t>设备</w:t>
      </w:r>
    </w:p>
    <w:p w14:paraId="63E979EB">
      <w:pPr>
        <w:pStyle w:val="56"/>
        <w:ind w:firstLine="420"/>
      </w:pPr>
      <w:bookmarkStart w:id="97" w:name="_Toc162529338"/>
      <w:r>
        <w:rPr>
          <w:rFonts w:hint="eastAsia"/>
        </w:rPr>
        <w:t>宜符合以下要求：</w:t>
      </w:r>
    </w:p>
    <w:p w14:paraId="0EF716FF">
      <w:pPr>
        <w:pStyle w:val="132"/>
      </w:pPr>
      <w:r>
        <w:rPr>
          <w:rFonts w:hint="eastAsia"/>
        </w:rPr>
        <w:t>具备能满足库区信息化需求的软硬件设施，</w:t>
      </w:r>
      <w:bookmarkStart w:id="98" w:name="_Hlk165712918"/>
      <w:r>
        <w:rPr>
          <w:rFonts w:hint="eastAsia"/>
        </w:rPr>
        <w:t>配套建设信息化平台</w:t>
      </w:r>
      <w:bookmarkEnd w:id="98"/>
      <w:r>
        <w:rPr>
          <w:rFonts w:hint="eastAsia"/>
        </w:rPr>
        <w:t>。</w:t>
      </w:r>
    </w:p>
    <w:p w14:paraId="3839FA52">
      <w:pPr>
        <w:pStyle w:val="132"/>
      </w:pPr>
      <w:r>
        <w:rPr>
          <w:rFonts w:hint="eastAsia"/>
        </w:rPr>
        <w:t>设置满足</w:t>
      </w:r>
      <w:r>
        <w:rPr>
          <w:rFonts w:hint="eastAsia"/>
          <w:lang w:eastAsia="zh-CN"/>
        </w:rPr>
        <w:t>管理</w:t>
      </w:r>
      <w:r>
        <w:rPr>
          <w:rFonts w:hint="eastAsia"/>
        </w:rPr>
        <w:t>需要的视频监控系统。</w:t>
      </w:r>
      <w:bookmarkEnd w:id="79"/>
      <w:bookmarkEnd w:id="80"/>
      <w:bookmarkEnd w:id="97"/>
    </w:p>
    <w:p w14:paraId="2344F2C8">
      <w:pPr>
        <w:pStyle w:val="105"/>
        <w:spacing w:before="120" w:after="120"/>
      </w:pPr>
      <w:bookmarkStart w:id="99" w:name="_Toc214003837"/>
      <w:bookmarkStart w:id="100" w:name="_Toc161388488"/>
      <w:bookmarkStart w:id="101" w:name="_Toc165317602"/>
      <w:bookmarkStart w:id="102" w:name="_Toc162625598"/>
      <w:bookmarkStart w:id="103" w:name="_Toc162703215"/>
      <w:bookmarkStart w:id="104" w:name="_Toc165382502"/>
      <w:bookmarkStart w:id="105" w:name="_Toc161220222"/>
      <w:bookmarkStart w:id="106" w:name="_Toc162969397"/>
      <w:bookmarkStart w:id="107" w:name="_Toc165912072"/>
      <w:bookmarkStart w:id="108" w:name="_Toc165382473"/>
      <w:bookmarkStart w:id="109" w:name="_Toc162529339"/>
      <w:bookmarkStart w:id="110" w:name="_Toc162625695"/>
      <w:bookmarkStart w:id="111" w:name="_Toc165993363"/>
      <w:r>
        <w:rPr>
          <w:rFonts w:hint="eastAsia"/>
        </w:rPr>
        <w:t>环保要求</w:t>
      </w:r>
      <w:bookmarkEnd w:id="99"/>
      <w:bookmarkEnd w:id="100"/>
      <w:bookmarkEnd w:id="101"/>
      <w:bookmarkEnd w:id="102"/>
      <w:bookmarkEnd w:id="103"/>
      <w:bookmarkEnd w:id="104"/>
      <w:bookmarkEnd w:id="105"/>
      <w:bookmarkEnd w:id="106"/>
      <w:bookmarkEnd w:id="107"/>
      <w:bookmarkEnd w:id="108"/>
      <w:bookmarkEnd w:id="109"/>
      <w:bookmarkEnd w:id="110"/>
      <w:bookmarkEnd w:id="111"/>
    </w:p>
    <w:p w14:paraId="2722B814">
      <w:pPr>
        <w:pStyle w:val="56"/>
        <w:ind w:firstLine="420"/>
      </w:pPr>
      <w:r>
        <w:rPr>
          <w:rFonts w:hint="eastAsia"/>
        </w:rPr>
        <w:t>库区的建筑应在执行当地的绿色环保要求基础上，符合SB/T 11164中的相关要求。</w:t>
      </w:r>
    </w:p>
    <w:p w14:paraId="79FC8D70">
      <w:pPr>
        <w:pStyle w:val="104"/>
        <w:spacing w:before="240" w:after="240"/>
      </w:pPr>
      <w:bookmarkStart w:id="112" w:name="_Toc214003838"/>
      <w:r>
        <w:rPr>
          <w:rFonts w:hint="eastAsia"/>
        </w:rPr>
        <w:t>管理要求</w:t>
      </w:r>
      <w:bookmarkEnd w:id="112"/>
    </w:p>
    <w:p w14:paraId="68CAE80A">
      <w:pPr>
        <w:pStyle w:val="105"/>
        <w:spacing w:before="120" w:after="120"/>
      </w:pPr>
      <w:bookmarkStart w:id="113" w:name="_Toc165382506"/>
      <w:bookmarkStart w:id="114" w:name="_Toc165382477"/>
      <w:bookmarkStart w:id="115" w:name="_Toc165993366"/>
      <w:bookmarkStart w:id="116" w:name="_Toc165912075"/>
      <w:bookmarkStart w:id="117" w:name="_Toc214003839"/>
      <w:bookmarkStart w:id="118" w:name="_Toc165317613"/>
      <w:bookmarkStart w:id="119" w:name="_Toc162703219"/>
      <w:bookmarkStart w:id="120" w:name="_Toc162625602"/>
      <w:bookmarkStart w:id="121" w:name="_Toc162529343"/>
      <w:bookmarkStart w:id="122" w:name="_Toc162969401"/>
      <w:bookmarkStart w:id="123" w:name="_Toc162625699"/>
      <w:bookmarkStart w:id="124" w:name="_Toc165317605"/>
      <w:r>
        <w:rPr>
          <w:rFonts w:hint="eastAsia"/>
        </w:rPr>
        <w:t>制度要求</w:t>
      </w:r>
      <w:bookmarkEnd w:id="113"/>
      <w:bookmarkEnd w:id="114"/>
      <w:bookmarkEnd w:id="115"/>
      <w:bookmarkEnd w:id="116"/>
      <w:bookmarkEnd w:id="117"/>
      <w:bookmarkEnd w:id="118"/>
    </w:p>
    <w:p w14:paraId="4B34A644">
      <w:pPr>
        <w:pStyle w:val="56"/>
        <w:ind w:firstLine="420"/>
      </w:pPr>
      <w:r>
        <w:rPr>
          <w:rFonts w:hint="eastAsia"/>
        </w:rPr>
        <w:t>应符合以下要求：</w:t>
      </w:r>
    </w:p>
    <w:p w14:paraId="3DDB685A">
      <w:pPr>
        <w:pStyle w:val="132"/>
      </w:pPr>
      <w:r>
        <w:rPr>
          <w:rFonts w:hint="eastAsia"/>
        </w:rPr>
        <w:t>制定并实施与储备库功能相适应的农资出入库管理制度、质量验收制度、人员管理制度、设施设备管理制度、安全管理制度、信息管理制度等；</w:t>
      </w:r>
    </w:p>
    <w:p w14:paraId="253F22E2">
      <w:pPr>
        <w:pStyle w:val="132"/>
      </w:pPr>
      <w:r>
        <w:rPr>
          <w:rFonts w:hint="eastAsia"/>
        </w:rPr>
        <w:t>主要制度在显著位置明示。</w:t>
      </w:r>
    </w:p>
    <w:p w14:paraId="0229F7F2">
      <w:pPr>
        <w:pStyle w:val="105"/>
        <w:spacing w:before="120" w:after="120"/>
      </w:pPr>
      <w:bookmarkStart w:id="125" w:name="_Toc214003840"/>
      <w:bookmarkStart w:id="126" w:name="_Toc165993367"/>
      <w:bookmarkStart w:id="127" w:name="_Toc165912076"/>
      <w:r>
        <w:rPr>
          <w:rFonts w:hint="eastAsia"/>
        </w:rPr>
        <w:t>合同签订</w:t>
      </w:r>
      <w:bookmarkEnd w:id="125"/>
      <w:bookmarkEnd w:id="126"/>
      <w:bookmarkEnd w:id="127"/>
    </w:p>
    <w:p w14:paraId="1F19A91A">
      <w:pPr>
        <w:pStyle w:val="56"/>
        <w:ind w:firstLine="420"/>
      </w:pPr>
      <w:r>
        <w:rPr>
          <w:rFonts w:hint="eastAsia"/>
        </w:rPr>
        <w:t>宜符合GB/T 37070-2018中5.3的相关要求。</w:t>
      </w:r>
    </w:p>
    <w:p w14:paraId="3679080A">
      <w:pPr>
        <w:pStyle w:val="105"/>
        <w:spacing w:before="120" w:after="120"/>
      </w:pPr>
      <w:bookmarkStart w:id="128" w:name="_Toc165912077"/>
      <w:bookmarkStart w:id="129" w:name="_Toc214003841"/>
      <w:bookmarkStart w:id="130" w:name="_Toc165993368"/>
      <w:r>
        <w:rPr>
          <w:rFonts w:hint="eastAsia"/>
        </w:rPr>
        <w:t>作业准备</w:t>
      </w:r>
      <w:bookmarkEnd w:id="128"/>
      <w:bookmarkEnd w:id="129"/>
      <w:bookmarkEnd w:id="130"/>
    </w:p>
    <w:p w14:paraId="5C363DF3">
      <w:pPr>
        <w:pStyle w:val="56"/>
        <w:ind w:firstLine="420"/>
      </w:pPr>
      <w:r>
        <w:rPr>
          <w:rFonts w:hint="eastAsia"/>
        </w:rPr>
        <w:t>宜符合GB/T 37070-2018中5.4的相关要求。</w:t>
      </w:r>
    </w:p>
    <w:p w14:paraId="27F376B5">
      <w:pPr>
        <w:pStyle w:val="105"/>
        <w:spacing w:before="120" w:after="120"/>
      </w:pPr>
      <w:bookmarkStart w:id="131" w:name="_Toc165912078"/>
      <w:bookmarkStart w:id="132" w:name="_Toc165993369"/>
      <w:bookmarkStart w:id="133" w:name="_Toc214003842"/>
      <w:r>
        <w:rPr>
          <w:rFonts w:hint="eastAsia"/>
        </w:rPr>
        <w:t>初步</w:t>
      </w:r>
      <w:bookmarkEnd w:id="131"/>
      <w:r>
        <w:rPr>
          <w:rFonts w:hint="eastAsia"/>
        </w:rPr>
        <w:t>查验</w:t>
      </w:r>
      <w:bookmarkEnd w:id="132"/>
      <w:bookmarkEnd w:id="133"/>
    </w:p>
    <w:p w14:paraId="421DD904">
      <w:pPr>
        <w:pStyle w:val="56"/>
        <w:ind w:firstLine="420"/>
      </w:pPr>
      <w:r>
        <w:rPr>
          <w:rFonts w:hint="eastAsia"/>
        </w:rPr>
        <w:t>宜符合GB/T 37070-2018中5.5的相关要求。</w:t>
      </w:r>
    </w:p>
    <w:p w14:paraId="0E1B5170">
      <w:pPr>
        <w:pStyle w:val="105"/>
        <w:spacing w:before="120" w:after="120"/>
      </w:pPr>
      <w:bookmarkStart w:id="134" w:name="_Toc165912079"/>
      <w:bookmarkStart w:id="135" w:name="_Toc165993370"/>
      <w:bookmarkStart w:id="136" w:name="_Toc214003843"/>
      <w:r>
        <w:rPr>
          <w:rFonts w:hint="eastAsia"/>
        </w:rPr>
        <w:t>入库验收</w:t>
      </w:r>
      <w:bookmarkEnd w:id="134"/>
      <w:bookmarkEnd w:id="135"/>
      <w:bookmarkEnd w:id="136"/>
    </w:p>
    <w:p w14:paraId="490FE724">
      <w:pPr>
        <w:pStyle w:val="56"/>
        <w:ind w:firstLine="420"/>
      </w:pPr>
      <w:r>
        <w:rPr>
          <w:rFonts w:hint="eastAsia"/>
        </w:rPr>
        <w:t>宜符合GB/T 37070-2018中5.6的相关要求。</w:t>
      </w:r>
    </w:p>
    <w:p w14:paraId="0223256D">
      <w:pPr>
        <w:pStyle w:val="105"/>
        <w:spacing w:before="120" w:after="120"/>
      </w:pPr>
      <w:bookmarkStart w:id="137" w:name="_Toc165912080"/>
      <w:bookmarkStart w:id="138" w:name="_Toc214003844"/>
      <w:bookmarkStart w:id="139" w:name="_Toc165993371"/>
      <w:r>
        <w:rPr>
          <w:rFonts w:hint="eastAsia"/>
        </w:rPr>
        <w:t>装卸堆码</w:t>
      </w:r>
      <w:bookmarkEnd w:id="137"/>
      <w:bookmarkEnd w:id="138"/>
      <w:bookmarkEnd w:id="139"/>
    </w:p>
    <w:p w14:paraId="195F75CE">
      <w:pPr>
        <w:pStyle w:val="56"/>
        <w:ind w:firstLine="420"/>
      </w:pPr>
      <w:r>
        <w:rPr>
          <w:rFonts w:hint="eastAsia"/>
        </w:rPr>
        <w:t>宜符合GB/T 37070-2018中5.7的相关要求。</w:t>
      </w:r>
    </w:p>
    <w:bookmarkEnd w:id="119"/>
    <w:bookmarkEnd w:id="120"/>
    <w:bookmarkEnd w:id="121"/>
    <w:bookmarkEnd w:id="122"/>
    <w:bookmarkEnd w:id="123"/>
    <w:bookmarkEnd w:id="124"/>
    <w:p w14:paraId="7E3723F2">
      <w:pPr>
        <w:pStyle w:val="105"/>
        <w:spacing w:before="120" w:after="120"/>
      </w:pPr>
      <w:bookmarkStart w:id="140" w:name="_Toc165993372"/>
      <w:bookmarkStart w:id="141" w:name="_Toc165317610"/>
      <w:bookmarkStart w:id="142" w:name="_Toc214003845"/>
      <w:bookmarkStart w:id="143" w:name="_Toc165382507"/>
      <w:bookmarkStart w:id="144" w:name="_Toc162625704"/>
      <w:bookmarkStart w:id="145" w:name="_Toc162969406"/>
      <w:bookmarkStart w:id="146" w:name="_Toc165382478"/>
      <w:bookmarkStart w:id="147" w:name="_Toc165912081"/>
      <w:bookmarkStart w:id="148" w:name="_Toc162703224"/>
      <w:bookmarkStart w:id="149" w:name="_Toc162529348"/>
      <w:bookmarkStart w:id="150" w:name="_Toc162625607"/>
      <w:r>
        <w:rPr>
          <w:rFonts w:hint="eastAsia"/>
        </w:rPr>
        <w:t>在库管理</w:t>
      </w:r>
      <w:bookmarkEnd w:id="140"/>
      <w:bookmarkEnd w:id="141"/>
      <w:bookmarkEnd w:id="142"/>
      <w:bookmarkEnd w:id="143"/>
      <w:bookmarkEnd w:id="144"/>
      <w:bookmarkEnd w:id="145"/>
      <w:bookmarkEnd w:id="146"/>
      <w:bookmarkEnd w:id="147"/>
      <w:bookmarkEnd w:id="148"/>
      <w:bookmarkEnd w:id="149"/>
      <w:bookmarkEnd w:id="150"/>
    </w:p>
    <w:p w14:paraId="246AF007">
      <w:pPr>
        <w:pStyle w:val="165"/>
      </w:pPr>
      <w:r>
        <w:rPr>
          <w:rFonts w:hint="eastAsia"/>
        </w:rPr>
        <w:t>各类农资库房应专库专用、专人管理。</w:t>
      </w:r>
    </w:p>
    <w:p w14:paraId="358712C9">
      <w:pPr>
        <w:pStyle w:val="165"/>
      </w:pPr>
      <w:r>
        <w:rPr>
          <w:rFonts w:hint="eastAsia"/>
        </w:rPr>
        <w:t>库房、货位等作业场所应实行人、车分行，库内通行标识规范、清晰、准确、易辨，安全标志应符合GB 2894的相关要求。</w:t>
      </w:r>
    </w:p>
    <w:p w14:paraId="19E8857C">
      <w:pPr>
        <w:pStyle w:val="165"/>
      </w:pPr>
      <w:r>
        <w:rPr>
          <w:rFonts w:hint="eastAsia"/>
        </w:rPr>
        <w:t>对库存农资数量进行盘点，核查在库农资实物、账目、票据和电子信息的符合性，可采用射频识别、条码等自动识别和数据采集技术实现仓库实时动态盘点。</w:t>
      </w:r>
    </w:p>
    <w:p w14:paraId="08559F12">
      <w:pPr>
        <w:pStyle w:val="165"/>
      </w:pPr>
      <w:r>
        <w:rPr>
          <w:rFonts w:hint="eastAsia"/>
        </w:rPr>
        <w:t>在库物品质量监控宜包括：</w:t>
      </w:r>
    </w:p>
    <w:p w14:paraId="57C431C8">
      <w:pPr>
        <w:pStyle w:val="132"/>
      </w:pPr>
      <w:r>
        <w:rPr>
          <w:rFonts w:hint="eastAsia"/>
        </w:rPr>
        <w:t>根据不同种类入库农资的贮存说明，有效控制温度、湿度、光线、通风等仓储条件。</w:t>
      </w:r>
    </w:p>
    <w:p w14:paraId="1CB6A0FF">
      <w:pPr>
        <w:pStyle w:val="132"/>
      </w:pPr>
      <w:r>
        <w:rPr>
          <w:rFonts w:hint="eastAsia"/>
        </w:rPr>
        <w:t>检查库存农资质量，发现超期、变质、变形、残损等异常货品，及时隔离，做好记录，分析原因。</w:t>
      </w:r>
    </w:p>
    <w:p w14:paraId="254B1A39">
      <w:pPr>
        <w:pStyle w:val="165"/>
      </w:pPr>
      <w:r>
        <w:rPr>
          <w:rFonts w:hint="eastAsia"/>
        </w:rPr>
        <w:t>维护和保养仓库设施设备，做好日常运行和维护记录。</w:t>
      </w:r>
    </w:p>
    <w:p w14:paraId="4D39D067">
      <w:pPr>
        <w:pStyle w:val="105"/>
        <w:spacing w:before="120" w:after="120"/>
      </w:pPr>
      <w:bookmarkStart w:id="151" w:name="_Toc162529349"/>
      <w:bookmarkStart w:id="152" w:name="_Toc162625608"/>
      <w:bookmarkStart w:id="153" w:name="_Toc165382479"/>
      <w:bookmarkStart w:id="154" w:name="_Toc165993373"/>
      <w:bookmarkStart w:id="155" w:name="_Toc165317611"/>
      <w:bookmarkStart w:id="156" w:name="_Toc165912082"/>
      <w:bookmarkStart w:id="157" w:name="_Toc162969407"/>
      <w:bookmarkStart w:id="158" w:name="_Toc165382508"/>
      <w:bookmarkStart w:id="159" w:name="_Toc162625705"/>
      <w:bookmarkStart w:id="160" w:name="_Toc162703225"/>
      <w:bookmarkStart w:id="161" w:name="_Toc214003846"/>
      <w:r>
        <w:rPr>
          <w:rFonts w:hint="eastAsia"/>
        </w:rPr>
        <w:t>出库作业</w:t>
      </w:r>
      <w:bookmarkEnd w:id="151"/>
      <w:bookmarkEnd w:id="152"/>
      <w:bookmarkEnd w:id="153"/>
      <w:bookmarkEnd w:id="154"/>
      <w:bookmarkEnd w:id="155"/>
      <w:bookmarkEnd w:id="156"/>
      <w:bookmarkEnd w:id="157"/>
      <w:bookmarkEnd w:id="158"/>
      <w:bookmarkEnd w:id="159"/>
      <w:bookmarkEnd w:id="160"/>
      <w:bookmarkEnd w:id="161"/>
    </w:p>
    <w:p w14:paraId="3DFCD523">
      <w:pPr>
        <w:pStyle w:val="165"/>
      </w:pPr>
      <w:r>
        <w:rPr>
          <w:rFonts w:hint="eastAsia"/>
        </w:rPr>
        <w:t>确保出库农资的品种、数量</w:t>
      </w:r>
      <w:r>
        <w:rPr>
          <w:rFonts w:hint="eastAsia"/>
          <w:highlight w:val="none"/>
        </w:rPr>
        <w:t>、规格、产地</w:t>
      </w:r>
      <w:r>
        <w:rPr>
          <w:rFonts w:hint="eastAsia"/>
          <w:highlight w:val="none"/>
          <w:lang w:eastAsia="zh-CN"/>
        </w:rPr>
        <w:t>、品牌</w:t>
      </w:r>
      <w:r>
        <w:rPr>
          <w:rFonts w:hint="eastAsia"/>
          <w:highlight w:val="none"/>
        </w:rPr>
        <w:t>等信息与出</w:t>
      </w:r>
      <w:r>
        <w:rPr>
          <w:rFonts w:hint="eastAsia"/>
        </w:rPr>
        <w:t>库单要求一致。</w:t>
      </w:r>
    </w:p>
    <w:p w14:paraId="278971C3">
      <w:pPr>
        <w:pStyle w:val="165"/>
      </w:pPr>
      <w:r>
        <w:rPr>
          <w:rFonts w:hint="eastAsia"/>
        </w:rPr>
        <w:t>对一次仓储分次提货的，做好分次出货的安排。</w:t>
      </w:r>
    </w:p>
    <w:p w14:paraId="5EDE1BB5">
      <w:pPr>
        <w:pStyle w:val="165"/>
      </w:pPr>
      <w:r>
        <w:rPr>
          <w:rFonts w:hint="eastAsia"/>
        </w:rPr>
        <w:t>及时填写农资出库确认单据，有序安排出库操作。</w:t>
      </w:r>
    </w:p>
    <w:p w14:paraId="09D9CEBE">
      <w:pPr>
        <w:pStyle w:val="165"/>
      </w:pPr>
      <w:r>
        <w:rPr>
          <w:rFonts w:hint="eastAsia"/>
        </w:rPr>
        <w:t>提货人员对出库农资提出质疑的，应予以核实。确认出现问题的，应及时进行调货、退货或协商解决，并记录存档。</w:t>
      </w:r>
    </w:p>
    <w:p w14:paraId="03DCF64A">
      <w:pPr>
        <w:pStyle w:val="105"/>
        <w:spacing w:before="120" w:after="120"/>
      </w:pPr>
      <w:bookmarkStart w:id="162" w:name="_Toc162625609"/>
      <w:bookmarkStart w:id="163" w:name="_Toc162969408"/>
      <w:bookmarkStart w:id="164" w:name="_Toc214003847"/>
      <w:bookmarkStart w:id="165" w:name="_Toc165317612"/>
      <w:bookmarkStart w:id="166" w:name="_Toc165993374"/>
      <w:bookmarkStart w:id="167" w:name="_Toc165382480"/>
      <w:bookmarkStart w:id="168" w:name="_Toc165912083"/>
      <w:bookmarkStart w:id="169" w:name="_Toc165382509"/>
      <w:bookmarkStart w:id="170" w:name="_Toc162625706"/>
      <w:bookmarkStart w:id="171" w:name="_Toc162529350"/>
      <w:bookmarkStart w:id="172" w:name="_Toc162703226"/>
      <w:r>
        <w:rPr>
          <w:rFonts w:hint="eastAsia"/>
        </w:rPr>
        <w:t>信息服务</w:t>
      </w:r>
      <w:bookmarkEnd w:id="162"/>
      <w:bookmarkEnd w:id="163"/>
      <w:bookmarkEnd w:id="164"/>
      <w:bookmarkEnd w:id="165"/>
      <w:bookmarkEnd w:id="166"/>
      <w:bookmarkEnd w:id="167"/>
      <w:bookmarkEnd w:id="168"/>
      <w:bookmarkEnd w:id="169"/>
      <w:bookmarkEnd w:id="170"/>
      <w:bookmarkEnd w:id="171"/>
      <w:bookmarkEnd w:id="172"/>
    </w:p>
    <w:p w14:paraId="4EE12F40">
      <w:pPr>
        <w:pStyle w:val="165"/>
      </w:pPr>
      <w:r>
        <w:rPr>
          <w:rFonts w:hint="eastAsia"/>
        </w:rPr>
        <w:t>保管各类农资入、出库单据和账目，建立农资仓储电子档案。</w:t>
      </w:r>
    </w:p>
    <w:p w14:paraId="2FDE9732">
      <w:pPr>
        <w:pStyle w:val="165"/>
      </w:pPr>
      <w:r>
        <w:rPr>
          <w:rFonts w:hint="eastAsia"/>
        </w:rPr>
        <w:t>做好农资仓储信息维护工作，确保库存农资信息的有效性和可追溯性。</w:t>
      </w:r>
    </w:p>
    <w:p w14:paraId="095B370E">
      <w:pPr>
        <w:pStyle w:val="165"/>
        <w:rPr>
          <w:rFonts w:ascii="黑体" w:eastAsia="黑体"/>
        </w:rPr>
      </w:pPr>
      <w:r>
        <w:rPr>
          <w:rFonts w:hint="eastAsia"/>
        </w:rPr>
        <w:t>宜采用电子信息管理技术，实现农资仓储状态的实时在线查询。</w:t>
      </w:r>
    </w:p>
    <w:p w14:paraId="0B5BB80E">
      <w:pPr>
        <w:pStyle w:val="105"/>
        <w:spacing w:before="120" w:after="120"/>
      </w:pPr>
      <w:bookmarkStart w:id="173" w:name="_Toc162625707"/>
      <w:bookmarkStart w:id="174" w:name="_Toc165382481"/>
      <w:bookmarkStart w:id="175" w:name="_Toc162625610"/>
      <w:bookmarkStart w:id="176" w:name="_Toc162969409"/>
      <w:bookmarkStart w:id="177" w:name="_Toc165912084"/>
      <w:bookmarkStart w:id="178" w:name="_Toc165382510"/>
      <w:bookmarkStart w:id="179" w:name="_Toc165993375"/>
      <w:bookmarkStart w:id="180" w:name="_Toc165317614"/>
      <w:bookmarkStart w:id="181" w:name="_Toc214003848"/>
      <w:bookmarkStart w:id="182" w:name="_Toc162703227"/>
      <w:bookmarkStart w:id="183" w:name="_Toc162529351"/>
      <w:r>
        <w:rPr>
          <w:rFonts w:hint="eastAsia"/>
        </w:rPr>
        <w:t>风险控制</w:t>
      </w:r>
      <w:bookmarkEnd w:id="173"/>
      <w:bookmarkEnd w:id="174"/>
      <w:bookmarkEnd w:id="175"/>
      <w:bookmarkEnd w:id="176"/>
      <w:bookmarkEnd w:id="177"/>
      <w:bookmarkEnd w:id="178"/>
      <w:bookmarkEnd w:id="179"/>
      <w:bookmarkEnd w:id="180"/>
      <w:bookmarkEnd w:id="181"/>
      <w:bookmarkEnd w:id="182"/>
      <w:bookmarkEnd w:id="183"/>
    </w:p>
    <w:p w14:paraId="58B0ABC1">
      <w:pPr>
        <w:pStyle w:val="165"/>
      </w:pPr>
      <w:r>
        <w:rPr>
          <w:rFonts w:hint="eastAsia"/>
        </w:rPr>
        <w:t>全面分析与识别农资仓储潜在风险，对安全隐患、自然灾害、人为破坏等不同类型风险制定相应的应急预案。</w:t>
      </w:r>
    </w:p>
    <w:p w14:paraId="0CB9ED93">
      <w:pPr>
        <w:pStyle w:val="165"/>
      </w:pPr>
      <w:r>
        <w:t>农资仓储装卸、搬运等生产作业环节，</w:t>
      </w:r>
      <w:r>
        <w:rPr>
          <w:rFonts w:hint="eastAsia"/>
        </w:rPr>
        <w:t>应</w:t>
      </w:r>
      <w:r>
        <w:t>制定相应的安全管理制度</w:t>
      </w:r>
      <w:r>
        <w:rPr>
          <w:rFonts w:hint="eastAsia"/>
        </w:rPr>
        <w:t>及</w:t>
      </w:r>
      <w:r>
        <w:t>应急预案。</w:t>
      </w:r>
    </w:p>
    <w:p w14:paraId="53DBC770">
      <w:pPr>
        <w:pStyle w:val="165"/>
      </w:pPr>
      <w:r>
        <w:rPr>
          <w:rFonts w:hint="eastAsia"/>
        </w:rPr>
        <w:t>采取防火、防爆、防潮、防盗、防汛等技术防范措施，定期检查可能存在的安全隐患。</w:t>
      </w:r>
    </w:p>
    <w:p w14:paraId="317F05E1">
      <w:pPr>
        <w:pStyle w:val="165"/>
        <w:rPr>
          <w:highlight w:val="none"/>
        </w:rPr>
      </w:pPr>
      <w:r>
        <w:t>应急事件发生并妥善</w:t>
      </w:r>
      <w:r>
        <w:rPr>
          <w:highlight w:val="none"/>
        </w:rPr>
        <w:t>处理完毕后，应对应急预案、处理过程及结果进行评估和记录，存档备案。</w:t>
      </w:r>
    </w:p>
    <w:p w14:paraId="71115BAE">
      <w:pPr>
        <w:pStyle w:val="165"/>
        <w:rPr>
          <w:highlight w:val="none"/>
        </w:rPr>
      </w:pPr>
      <w:r>
        <w:rPr>
          <w:rFonts w:hint="eastAsia"/>
          <w:highlight w:val="none"/>
        </w:rPr>
        <w:t>应定期组织应急预案演练，每年不少于一次，并做好演练评估与记录。</w:t>
      </w:r>
    </w:p>
    <w:p w14:paraId="41F72556">
      <w:pPr>
        <w:pStyle w:val="105"/>
        <w:spacing w:before="120" w:after="120"/>
        <w:rPr>
          <w:highlight w:val="none"/>
        </w:rPr>
      </w:pPr>
      <w:bookmarkStart w:id="184" w:name="_Toc165382482"/>
      <w:bookmarkStart w:id="185" w:name="_Toc162703228"/>
      <w:bookmarkStart w:id="186" w:name="_Toc162969410"/>
      <w:bookmarkStart w:id="187" w:name="_Toc165317615"/>
      <w:bookmarkStart w:id="188" w:name="_Toc165382511"/>
      <w:bookmarkStart w:id="189" w:name="_Toc162625611"/>
      <w:bookmarkStart w:id="190" w:name="_Toc214003849"/>
      <w:bookmarkStart w:id="191" w:name="_Toc165912085"/>
      <w:bookmarkStart w:id="192" w:name="_Toc165993376"/>
      <w:bookmarkStart w:id="193" w:name="_Toc162625708"/>
      <w:r>
        <w:rPr>
          <w:rFonts w:hint="eastAsia"/>
          <w:highlight w:val="none"/>
        </w:rPr>
        <w:t>人员要求</w:t>
      </w:r>
      <w:bookmarkEnd w:id="184"/>
      <w:bookmarkEnd w:id="185"/>
      <w:bookmarkEnd w:id="186"/>
      <w:bookmarkEnd w:id="187"/>
      <w:bookmarkEnd w:id="188"/>
      <w:bookmarkEnd w:id="189"/>
      <w:bookmarkEnd w:id="190"/>
      <w:bookmarkEnd w:id="191"/>
      <w:bookmarkEnd w:id="192"/>
      <w:bookmarkEnd w:id="193"/>
    </w:p>
    <w:p w14:paraId="41602949">
      <w:pPr>
        <w:pStyle w:val="56"/>
        <w:ind w:firstLine="420"/>
        <w:rPr>
          <w:highlight w:val="none"/>
        </w:rPr>
      </w:pPr>
      <w:r>
        <w:rPr>
          <w:rFonts w:hint="eastAsia"/>
          <w:highlight w:val="none"/>
        </w:rPr>
        <w:t>宜符合以下人员要求:</w:t>
      </w:r>
    </w:p>
    <w:p w14:paraId="211CB594">
      <w:pPr>
        <w:pStyle w:val="132"/>
        <w:rPr>
          <w:highlight w:val="none"/>
        </w:rPr>
      </w:pPr>
      <w:r>
        <w:rPr>
          <w:rFonts w:hint="eastAsia"/>
          <w:highlight w:val="none"/>
        </w:rPr>
        <w:t>确定与仓库管理要求相适应的岗位，配备相应人员，分工明确；</w:t>
      </w:r>
    </w:p>
    <w:p w14:paraId="656EC35C">
      <w:pPr>
        <w:pStyle w:val="132"/>
        <w:rPr>
          <w:highlight w:val="none"/>
        </w:rPr>
      </w:pPr>
      <w:r>
        <w:rPr>
          <w:rFonts w:hint="eastAsia"/>
          <w:highlight w:val="none"/>
        </w:rPr>
        <w:t>从业人员具有与其岗位相适应的知识、技能和经验，有职业资质要求的从业人员具备相应资质；</w:t>
      </w:r>
    </w:p>
    <w:p w14:paraId="65497D08">
      <w:pPr>
        <w:pStyle w:val="132"/>
        <w:rPr>
          <w:highlight w:val="none"/>
        </w:rPr>
      </w:pPr>
      <w:r>
        <w:rPr>
          <w:rFonts w:hint="eastAsia"/>
          <w:highlight w:val="none"/>
        </w:rPr>
        <w:t>对人员进行业务技能、安全管理、信息管理等方面培训。</w:t>
      </w:r>
    </w:p>
    <w:p w14:paraId="4F4E893A">
      <w:pPr>
        <w:pStyle w:val="132"/>
        <w:rPr>
          <w:highlight w:val="none"/>
        </w:rPr>
      </w:pPr>
      <w:r>
        <w:rPr>
          <w:rFonts w:hint="eastAsia"/>
          <w:highlight w:val="none"/>
        </w:rPr>
        <w:t>特种设备作业人员（如叉车司机、起重机械操作员等）、危险化学品管理人员、电工等国家规定持证上岗的人员，应持相应资格证书上岗。</w:t>
      </w:r>
    </w:p>
    <w:p w14:paraId="12F35070">
      <w:pPr>
        <w:pStyle w:val="56"/>
        <w:ind w:firstLine="422"/>
        <w:rPr>
          <w:b/>
          <w:bCs/>
        </w:rPr>
      </w:pPr>
    </w:p>
    <w:bookmarkEnd w:id="25"/>
    <w:p w14:paraId="1B618E6A">
      <w:pPr>
        <w:pStyle w:val="56"/>
        <w:ind w:firstLine="422"/>
        <w:rPr>
          <w:b/>
          <w:bCs/>
        </w:rPr>
        <w:sectPr>
          <w:pgSz w:w="11906" w:h="16838"/>
          <w:pgMar w:top="1928" w:right="1134" w:bottom="1134" w:left="1134" w:header="1418" w:footer="1134" w:gutter="284"/>
          <w:pgNumType w:start="1"/>
          <w:cols w:space="425" w:num="1"/>
          <w:formProt w:val="0"/>
          <w:docGrid w:linePitch="312" w:charSpace="0"/>
        </w:sectPr>
      </w:pPr>
      <w:bookmarkStart w:id="194" w:name="BookMark6"/>
    </w:p>
    <w:p w14:paraId="08A1350E">
      <w:pPr>
        <w:pStyle w:val="63"/>
        <w:spacing w:after="120"/>
      </w:pPr>
      <w:bookmarkStart w:id="195" w:name="_Toc214003850"/>
      <w:r>
        <w:rPr>
          <w:rFonts w:hint="eastAsia"/>
          <w:spacing w:val="105"/>
        </w:rPr>
        <w:t>参考文</w:t>
      </w:r>
      <w:r>
        <w:rPr>
          <w:rFonts w:hint="eastAsia"/>
        </w:rPr>
        <w:t>献</w:t>
      </w:r>
      <w:bookmarkEnd w:id="195"/>
    </w:p>
    <w:p w14:paraId="2B7D0492">
      <w:pPr>
        <w:pStyle w:val="56"/>
        <w:numPr>
          <w:ilvl w:val="0"/>
          <w:numId w:val="32"/>
        </w:numPr>
        <w:ind w:firstLine="420"/>
      </w:pPr>
      <w:r>
        <w:rPr>
          <w:rFonts w:hint="eastAsia"/>
        </w:rPr>
        <w:t xml:space="preserve"> GB  5749  生活饮用水卫生标准</w:t>
      </w:r>
    </w:p>
    <w:p w14:paraId="76252E80">
      <w:pPr>
        <w:pStyle w:val="56"/>
        <w:numPr>
          <w:ilvl w:val="0"/>
          <w:numId w:val="32"/>
        </w:numPr>
        <w:ind w:firstLine="420"/>
      </w:pPr>
      <w:r>
        <w:rPr>
          <w:rFonts w:hint="eastAsia"/>
        </w:rPr>
        <w:t xml:space="preserve"> GB/T 43420-2023  农业生产资料供应服务 农资供应商评价规范</w:t>
      </w:r>
    </w:p>
    <w:p w14:paraId="0B75E00F">
      <w:pPr>
        <w:pStyle w:val="56"/>
        <w:ind w:firstLine="420"/>
      </w:pPr>
      <w:r>
        <w:rPr>
          <w:rFonts w:hint="eastAsia"/>
        </w:rPr>
        <w:t>[3]  建标  172—2016  粮食仓库建设标准</w:t>
      </w:r>
    </w:p>
    <w:p w14:paraId="44216728">
      <w:pPr>
        <w:pStyle w:val="56"/>
        <w:ind w:firstLine="420"/>
      </w:pPr>
      <w:r>
        <w:rPr>
          <w:rFonts w:hint="eastAsia"/>
        </w:rPr>
        <w:t>[4]  GH/T 1079  农业生产资料连锁经营网络配送中心建设与管理规范</w:t>
      </w:r>
    </w:p>
    <w:p w14:paraId="507F3CDA">
      <w:pPr>
        <w:pStyle w:val="56"/>
        <w:ind w:firstLine="420"/>
      </w:pPr>
      <w:r>
        <w:rPr>
          <w:rFonts w:hint="eastAsia"/>
        </w:rPr>
        <w:t xml:space="preserve">[5]  </w:t>
      </w:r>
      <w:r>
        <w:t>GH/T</w:t>
      </w:r>
      <w:r>
        <w:rPr>
          <w:rFonts w:hint="eastAsia"/>
        </w:rPr>
        <w:t xml:space="preserve">  </w:t>
      </w:r>
      <w:r>
        <w:t>1122</w:t>
      </w:r>
      <w:r>
        <w:rPr>
          <w:rFonts w:hint="eastAsia"/>
        </w:rPr>
        <w:t xml:space="preserve">  </w:t>
      </w:r>
      <w:r>
        <w:t>庄稼医院建设与管理规范</w:t>
      </w:r>
    </w:p>
    <w:p w14:paraId="3C4E506F">
      <w:pPr>
        <w:pStyle w:val="56"/>
        <w:ind w:firstLine="420"/>
      </w:pPr>
      <w:r>
        <w:rPr>
          <w:rFonts w:hint="eastAsia"/>
        </w:rPr>
        <w:t xml:space="preserve">[6]  </w:t>
      </w:r>
      <w:r>
        <w:t xml:space="preserve">GH/T </w:t>
      </w:r>
      <w:r>
        <w:rPr>
          <w:rFonts w:hint="eastAsia"/>
        </w:rPr>
        <w:t xml:space="preserve"> </w:t>
      </w:r>
      <w:r>
        <w:t>1225</w:t>
      </w:r>
      <w:r>
        <w:rPr>
          <w:rFonts w:hint="eastAsia"/>
        </w:rPr>
        <w:t xml:space="preserve">  </w:t>
      </w:r>
      <w:r>
        <w:t>农资质量追溯体系建设规范</w:t>
      </w:r>
    </w:p>
    <w:p w14:paraId="237098FA">
      <w:pPr>
        <w:pStyle w:val="56"/>
        <w:ind w:firstLine="420"/>
      </w:pPr>
      <w:r>
        <w:rPr>
          <w:rFonts w:hint="eastAsia"/>
        </w:rPr>
        <w:t>[7]  仓库防火安全管理规则（公安部〔1990〕第6号令）</w:t>
      </w:r>
    </w:p>
    <w:p w14:paraId="31A982D1">
      <w:pPr>
        <w:pStyle w:val="56"/>
        <w:ind w:firstLine="420"/>
      </w:pPr>
      <w:r>
        <w:rPr>
          <w:rFonts w:hint="eastAsia"/>
        </w:rPr>
        <w:t>[8]  建设工程消防监督管理规定（公安部〔2009〕第106号令）</w:t>
      </w:r>
    </w:p>
    <w:p w14:paraId="4F0C5727">
      <w:pPr>
        <w:pStyle w:val="56"/>
        <w:ind w:firstLine="420"/>
      </w:pPr>
      <w:r>
        <w:rPr>
          <w:rFonts w:hint="eastAsia"/>
        </w:rPr>
        <w:t>[9]  全国供销合作社农资网络体系建设专项规划（2024—2028年）</w:t>
      </w:r>
    </w:p>
    <w:p w14:paraId="27785B18">
      <w:pPr>
        <w:pStyle w:val="56"/>
        <w:ind w:firstLine="420"/>
      </w:pPr>
      <w:r>
        <w:rPr>
          <w:rFonts w:hint="eastAsia"/>
        </w:rPr>
        <w:t>[10]  《中华人民共和国安全生产法》</w:t>
      </w:r>
    </w:p>
    <w:p w14:paraId="4F4B7F16">
      <w:pPr>
        <w:pStyle w:val="56"/>
        <w:ind w:firstLine="420"/>
      </w:pPr>
      <w:r>
        <w:rPr>
          <w:rFonts w:hint="eastAsia"/>
        </w:rPr>
        <w:t>[11]  《中华人民共和国特种设备安全法》</w:t>
      </w:r>
    </w:p>
    <w:p w14:paraId="1E5740E4">
      <w:pPr>
        <w:pStyle w:val="56"/>
        <w:ind w:firstLine="420"/>
      </w:pPr>
    </w:p>
    <w:p w14:paraId="146132C3">
      <w:pPr>
        <w:pStyle w:val="56"/>
        <w:ind w:firstLine="420"/>
      </w:pPr>
    </w:p>
    <w:p w14:paraId="6FE524B3">
      <w:pPr>
        <w:pStyle w:val="56"/>
        <w:ind w:firstLine="422"/>
        <w:rPr>
          <w:b/>
          <w:bCs/>
        </w:rPr>
      </w:pPr>
    </w:p>
    <w:bookmarkEnd w:id="194"/>
    <w:p w14:paraId="44BDDA44">
      <w:pPr>
        <w:pStyle w:val="56"/>
        <w:ind w:firstLine="422"/>
        <w:rPr>
          <w:b/>
          <w:bCs/>
        </w:rPr>
      </w:pP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Arial Unicode MS"/>
    <w:panose1 w:val="00000000000000000000"/>
    <w:charset w:val="00"/>
    <w:family w:val="auto"/>
    <w:pitch w:val="default"/>
    <w:sig w:usb0="00000000" w:usb1="00000000" w:usb2="00000000" w:usb3="00000000" w:csb0="00000000" w:csb1="00000000"/>
  </w:font>
  <w:font w:name="等线 Ligh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5157F">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986F6">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F3FC1">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7E700">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FF9D3">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2E1C3">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63F21">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A1FD">
    <w:pPr>
      <w:pStyle w:val="61"/>
      <w:rPr>
        <w:rFonts w:hint="eastAsia"/>
      </w:rPr>
    </w:pPr>
    <w:r>
      <w:fldChar w:fldCharType="begin"/>
    </w:r>
    <w:r>
      <w:instrText xml:space="preserve"> STYLEREF  标准文件_文件编号  \* MERGEFORMAT </w:instrText>
    </w:r>
    <w:r>
      <w:fldChar w:fldCharType="separate"/>
    </w:r>
    <w:r>
      <w:t>XX/T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9A04">
    <w:pPr>
      <w:pStyle w:val="18"/>
      <w:jc w:val="right"/>
    </w:pPr>
    <w:r>
      <w:fldChar w:fldCharType="begin"/>
    </w:r>
    <w:r>
      <w:instrText xml:space="preserve"> STYLEREF  标准文件_文件编号  \* MERGEFORMAT </w:instrText>
    </w:r>
    <w:r>
      <w:fldChar w:fldCharType="separate"/>
    </w:r>
    <w:r>
      <w:t>XX/T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79A97"/>
    <w:multiLevelType w:val="singleLevel"/>
    <w:tmpl w:val="C8379A97"/>
    <w:lvl w:ilvl="0" w:tentative="0">
      <w:start w:val="1"/>
      <w:numFmt w:val="decimal"/>
      <w:suff w:val="space"/>
      <w:lvlText w:val="[%1]"/>
      <w:lvlJc w:val="left"/>
    </w:lvl>
  </w:abstractNum>
  <w:abstractNum w:abstractNumId="1">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8"/>
  </w:num>
  <w:num w:numId="3">
    <w:abstractNumId w:val="6"/>
  </w:num>
  <w:num w:numId="4">
    <w:abstractNumId w:val="24"/>
  </w:num>
  <w:num w:numId="5">
    <w:abstractNumId w:val="19"/>
  </w:num>
  <w:num w:numId="6">
    <w:abstractNumId w:val="14"/>
  </w:num>
  <w:num w:numId="7">
    <w:abstractNumId w:val="9"/>
  </w:num>
  <w:num w:numId="8">
    <w:abstractNumId w:val="4"/>
  </w:num>
  <w:num w:numId="9">
    <w:abstractNumId w:val="10"/>
  </w:num>
  <w:num w:numId="10">
    <w:abstractNumId w:val="17"/>
  </w:num>
  <w:num w:numId="11">
    <w:abstractNumId w:val="26"/>
  </w:num>
  <w:num w:numId="12">
    <w:abstractNumId w:val="12"/>
  </w:num>
  <w:num w:numId="13">
    <w:abstractNumId w:val="13"/>
  </w:num>
  <w:num w:numId="14">
    <w:abstractNumId w:val="8"/>
  </w:num>
  <w:num w:numId="15">
    <w:abstractNumId w:val="20"/>
  </w:num>
  <w:num w:numId="16">
    <w:abstractNumId w:val="22"/>
  </w:num>
  <w:num w:numId="17">
    <w:abstractNumId w:val="18"/>
  </w:num>
  <w:num w:numId="18">
    <w:abstractNumId w:val="30"/>
  </w:num>
  <w:num w:numId="19">
    <w:abstractNumId w:val="16"/>
  </w:num>
  <w:num w:numId="20">
    <w:abstractNumId w:val="2"/>
  </w:num>
  <w:num w:numId="21">
    <w:abstractNumId w:val="11"/>
  </w:num>
  <w:num w:numId="22">
    <w:abstractNumId w:val="31"/>
  </w:num>
  <w:num w:numId="23">
    <w:abstractNumId w:val="21"/>
  </w:num>
  <w:num w:numId="24">
    <w:abstractNumId w:val="7"/>
  </w:num>
  <w:num w:numId="25">
    <w:abstractNumId w:val="27"/>
  </w:num>
  <w:num w:numId="26">
    <w:abstractNumId w:val="29"/>
  </w:num>
  <w:num w:numId="27">
    <w:abstractNumId w:val="3"/>
  </w:num>
  <w:num w:numId="28">
    <w:abstractNumId w:val="5"/>
  </w:num>
  <w:num w:numId="29">
    <w:abstractNumId w:val="15"/>
  </w:num>
  <w:num w:numId="30">
    <w:abstractNumId w:val="25"/>
  </w:num>
  <w:num w:numId="31">
    <w:abstractNumId w:val="2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attachedTemplate r:id="rId1"/>
  <w:documentProtection w:edit="forms" w:enforcement="1" w:cryptProviderType="rsaAES" w:cryptAlgorithmClass="hash" w:cryptAlgorithmType="typeAny" w:cryptAlgorithmSid="14" w:cryptSpinCount="100000" w:hash="/h41n7yZdc7raMLPEMM2yeoICUqmRJq7rhaomifowzPfHRKkJxBvR8TgsP/ZgtuW0R28/cYamEjgTL8eUvNWkQ==" w:salt="33jzbwrtxqDVitfHol/VhA=="/>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FEF"/>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56259"/>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A42A0"/>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2CD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9A4"/>
    <w:rsid w:val="00205F2C"/>
    <w:rsid w:val="00207A2B"/>
    <w:rsid w:val="00210B15"/>
    <w:rsid w:val="002142EA"/>
    <w:rsid w:val="002204BB"/>
    <w:rsid w:val="00221B79"/>
    <w:rsid w:val="00221C6B"/>
    <w:rsid w:val="00224596"/>
    <w:rsid w:val="002253A1"/>
    <w:rsid w:val="00225CF8"/>
    <w:rsid w:val="0022718D"/>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287A"/>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30E0"/>
    <w:rsid w:val="002F35E4"/>
    <w:rsid w:val="002F3730"/>
    <w:rsid w:val="002F38E1"/>
    <w:rsid w:val="002F7AF6"/>
    <w:rsid w:val="00300E63"/>
    <w:rsid w:val="00301AF2"/>
    <w:rsid w:val="00302E38"/>
    <w:rsid w:val="00302F5F"/>
    <w:rsid w:val="0030441D"/>
    <w:rsid w:val="00306063"/>
    <w:rsid w:val="00313B85"/>
    <w:rsid w:val="00317988"/>
    <w:rsid w:val="003221B4"/>
    <w:rsid w:val="00322E62"/>
    <w:rsid w:val="00324EDD"/>
    <w:rsid w:val="003331E4"/>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5BF0"/>
    <w:rsid w:val="003B60BF"/>
    <w:rsid w:val="003B6BE3"/>
    <w:rsid w:val="003C010C"/>
    <w:rsid w:val="003C0A6C"/>
    <w:rsid w:val="003C2859"/>
    <w:rsid w:val="003C3061"/>
    <w:rsid w:val="003C5A43"/>
    <w:rsid w:val="003D0519"/>
    <w:rsid w:val="003D0FF6"/>
    <w:rsid w:val="003D1A53"/>
    <w:rsid w:val="003D2437"/>
    <w:rsid w:val="003D262C"/>
    <w:rsid w:val="003D6D61"/>
    <w:rsid w:val="003E091D"/>
    <w:rsid w:val="003E1C53"/>
    <w:rsid w:val="003E2A69"/>
    <w:rsid w:val="003E2D49"/>
    <w:rsid w:val="003E2FD4"/>
    <w:rsid w:val="003E49F6"/>
    <w:rsid w:val="003F0841"/>
    <w:rsid w:val="003F23D3"/>
    <w:rsid w:val="003F23F5"/>
    <w:rsid w:val="003F3F08"/>
    <w:rsid w:val="003F49F1"/>
    <w:rsid w:val="003F6272"/>
    <w:rsid w:val="003F72A3"/>
    <w:rsid w:val="00400E72"/>
    <w:rsid w:val="00401400"/>
    <w:rsid w:val="00404869"/>
    <w:rsid w:val="00404947"/>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563CD"/>
    <w:rsid w:val="00463B77"/>
    <w:rsid w:val="00463C7B"/>
    <w:rsid w:val="00463F02"/>
    <w:rsid w:val="004644A6"/>
    <w:rsid w:val="004659BD"/>
    <w:rsid w:val="00470775"/>
    <w:rsid w:val="004715BD"/>
    <w:rsid w:val="004746B1"/>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3544"/>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E63"/>
    <w:rsid w:val="005D4171"/>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2047"/>
    <w:rsid w:val="006252D8"/>
    <w:rsid w:val="006259BC"/>
    <w:rsid w:val="006263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1D11"/>
    <w:rsid w:val="006B2672"/>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6593"/>
    <w:rsid w:val="006D686E"/>
    <w:rsid w:val="006F03A8"/>
    <w:rsid w:val="006F126C"/>
    <w:rsid w:val="006F2ACA"/>
    <w:rsid w:val="006F2ADC"/>
    <w:rsid w:val="006F2BFE"/>
    <w:rsid w:val="006F31E9"/>
    <w:rsid w:val="006F56E5"/>
    <w:rsid w:val="006F6284"/>
    <w:rsid w:val="007002C5"/>
    <w:rsid w:val="0070348B"/>
    <w:rsid w:val="00704387"/>
    <w:rsid w:val="00707669"/>
    <w:rsid w:val="00711CBA"/>
    <w:rsid w:val="00711FB5"/>
    <w:rsid w:val="00712A01"/>
    <w:rsid w:val="00714986"/>
    <w:rsid w:val="00714F58"/>
    <w:rsid w:val="00722FBF"/>
    <w:rsid w:val="00722FC2"/>
    <w:rsid w:val="00725949"/>
    <w:rsid w:val="00725FAE"/>
    <w:rsid w:val="00727FA2"/>
    <w:rsid w:val="007322D9"/>
    <w:rsid w:val="00732BC0"/>
    <w:rsid w:val="00732F4E"/>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011"/>
    <w:rsid w:val="00752B4D"/>
    <w:rsid w:val="00755402"/>
    <w:rsid w:val="00756B26"/>
    <w:rsid w:val="00756EDF"/>
    <w:rsid w:val="00765C43"/>
    <w:rsid w:val="00765EFB"/>
    <w:rsid w:val="007671CA"/>
    <w:rsid w:val="0076744F"/>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0D02"/>
    <w:rsid w:val="007E258B"/>
    <w:rsid w:val="007E2BA6"/>
    <w:rsid w:val="007F0ED8"/>
    <w:rsid w:val="007F0F63"/>
    <w:rsid w:val="007F32CC"/>
    <w:rsid w:val="007F3748"/>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1397"/>
    <w:rsid w:val="00842A47"/>
    <w:rsid w:val="00843C13"/>
    <w:rsid w:val="008454F8"/>
    <w:rsid w:val="0085173A"/>
    <w:rsid w:val="00854343"/>
    <w:rsid w:val="00860297"/>
    <w:rsid w:val="008603CE"/>
    <w:rsid w:val="008620FC"/>
    <w:rsid w:val="008627A5"/>
    <w:rsid w:val="008631F6"/>
    <w:rsid w:val="00863E05"/>
    <w:rsid w:val="0086431E"/>
    <w:rsid w:val="00865ACA"/>
    <w:rsid w:val="00865D28"/>
    <w:rsid w:val="00865F85"/>
    <w:rsid w:val="00867C10"/>
    <w:rsid w:val="00870439"/>
    <w:rsid w:val="00870DA1"/>
    <w:rsid w:val="00883F93"/>
    <w:rsid w:val="00884DB3"/>
    <w:rsid w:val="00885A9D"/>
    <w:rsid w:val="008864F6"/>
    <w:rsid w:val="00887309"/>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58DC"/>
    <w:rsid w:val="008F70BD"/>
    <w:rsid w:val="008F788F"/>
    <w:rsid w:val="008F7EA2"/>
    <w:rsid w:val="00902722"/>
    <w:rsid w:val="009027BC"/>
    <w:rsid w:val="00903522"/>
    <w:rsid w:val="009062E6"/>
    <w:rsid w:val="00911AF6"/>
    <w:rsid w:val="00911BE5"/>
    <w:rsid w:val="00913CA9"/>
    <w:rsid w:val="009145AE"/>
    <w:rsid w:val="009146CE"/>
    <w:rsid w:val="00914CA7"/>
    <w:rsid w:val="00915C3E"/>
    <w:rsid w:val="009161A8"/>
    <w:rsid w:val="009245F5"/>
    <w:rsid w:val="009249EC"/>
    <w:rsid w:val="009273B3"/>
    <w:rsid w:val="009305B5"/>
    <w:rsid w:val="00941FA3"/>
    <w:rsid w:val="009429D5"/>
    <w:rsid w:val="00942BF1"/>
    <w:rsid w:val="00945180"/>
    <w:rsid w:val="00945428"/>
    <w:rsid w:val="0094607B"/>
    <w:rsid w:val="0095077A"/>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037C"/>
    <w:rsid w:val="009C27F1"/>
    <w:rsid w:val="009C3152"/>
    <w:rsid w:val="009C4CFA"/>
    <w:rsid w:val="009C5070"/>
    <w:rsid w:val="009D112C"/>
    <w:rsid w:val="009D3E6E"/>
    <w:rsid w:val="009D47FA"/>
    <w:rsid w:val="009D50D2"/>
    <w:rsid w:val="009D6BCA"/>
    <w:rsid w:val="009D72B9"/>
    <w:rsid w:val="009E0F62"/>
    <w:rsid w:val="009E1848"/>
    <w:rsid w:val="009E1F48"/>
    <w:rsid w:val="009E4A58"/>
    <w:rsid w:val="009E5A2D"/>
    <w:rsid w:val="009E5AB2"/>
    <w:rsid w:val="009E6219"/>
    <w:rsid w:val="009F03B3"/>
    <w:rsid w:val="009F2240"/>
    <w:rsid w:val="009F7435"/>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55BD6"/>
    <w:rsid w:val="00A55D50"/>
    <w:rsid w:val="00A56345"/>
    <w:rsid w:val="00A57142"/>
    <w:rsid w:val="00A61D48"/>
    <w:rsid w:val="00A631E6"/>
    <w:rsid w:val="00A648CD"/>
    <w:rsid w:val="00A6537A"/>
    <w:rsid w:val="00A67866"/>
    <w:rsid w:val="00A70B07"/>
    <w:rsid w:val="00A723F8"/>
    <w:rsid w:val="00A77CCB"/>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89"/>
    <w:rsid w:val="00AE070A"/>
    <w:rsid w:val="00AE101C"/>
    <w:rsid w:val="00AE232F"/>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432"/>
    <w:rsid w:val="00B447A5"/>
    <w:rsid w:val="00B4654C"/>
    <w:rsid w:val="00B47293"/>
    <w:rsid w:val="00B50E50"/>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39B1"/>
    <w:rsid w:val="00B96D40"/>
    <w:rsid w:val="00B97386"/>
    <w:rsid w:val="00B978DB"/>
    <w:rsid w:val="00BA263B"/>
    <w:rsid w:val="00BA42B2"/>
    <w:rsid w:val="00BA58D4"/>
    <w:rsid w:val="00BA5B9E"/>
    <w:rsid w:val="00BA7C9A"/>
    <w:rsid w:val="00BB5F8F"/>
    <w:rsid w:val="00BB657A"/>
    <w:rsid w:val="00BC1A4E"/>
    <w:rsid w:val="00BC5DC7"/>
    <w:rsid w:val="00BC6B41"/>
    <w:rsid w:val="00BC6B8B"/>
    <w:rsid w:val="00BC73D8"/>
    <w:rsid w:val="00BD52D7"/>
    <w:rsid w:val="00BD5AD2"/>
    <w:rsid w:val="00BE22F3"/>
    <w:rsid w:val="00BE5B52"/>
    <w:rsid w:val="00BE7B8D"/>
    <w:rsid w:val="00BF0993"/>
    <w:rsid w:val="00BF10A9"/>
    <w:rsid w:val="00BF1703"/>
    <w:rsid w:val="00BF231C"/>
    <w:rsid w:val="00BF51E5"/>
    <w:rsid w:val="00BF74A6"/>
    <w:rsid w:val="00BF7718"/>
    <w:rsid w:val="00C013AD"/>
    <w:rsid w:val="00C020FB"/>
    <w:rsid w:val="00C04904"/>
    <w:rsid w:val="00C056B3"/>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648"/>
    <w:rsid w:val="00C7287F"/>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EEF"/>
    <w:rsid w:val="00CE01A9"/>
    <w:rsid w:val="00CE0C4F"/>
    <w:rsid w:val="00CE1C6D"/>
    <w:rsid w:val="00CE30EA"/>
    <w:rsid w:val="00CF048A"/>
    <w:rsid w:val="00CF155A"/>
    <w:rsid w:val="00CF2947"/>
    <w:rsid w:val="00CF3D82"/>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4CB7"/>
    <w:rsid w:val="00D352A2"/>
    <w:rsid w:val="00D40FEF"/>
    <w:rsid w:val="00D4162B"/>
    <w:rsid w:val="00D4514F"/>
    <w:rsid w:val="00D451E2"/>
    <w:rsid w:val="00D45E89"/>
    <w:rsid w:val="00D45E8D"/>
    <w:rsid w:val="00D466AE"/>
    <w:rsid w:val="00D4734F"/>
    <w:rsid w:val="00D51BF3"/>
    <w:rsid w:val="00D54B98"/>
    <w:rsid w:val="00D56D85"/>
    <w:rsid w:val="00D66846"/>
    <w:rsid w:val="00D675FB"/>
    <w:rsid w:val="00D71F25"/>
    <w:rsid w:val="00D77031"/>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202EF"/>
    <w:rsid w:val="00E210B5"/>
    <w:rsid w:val="00E2552F"/>
    <w:rsid w:val="00E3137A"/>
    <w:rsid w:val="00E32213"/>
    <w:rsid w:val="00E32CCF"/>
    <w:rsid w:val="00E33542"/>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2FF9"/>
    <w:rsid w:val="00E635D6"/>
    <w:rsid w:val="00E639BC"/>
    <w:rsid w:val="00E664CC"/>
    <w:rsid w:val="00E70388"/>
    <w:rsid w:val="00E70B15"/>
    <w:rsid w:val="00E70F92"/>
    <w:rsid w:val="00E73737"/>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1542"/>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47F"/>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3A8A"/>
    <w:rsid w:val="00F95248"/>
    <w:rsid w:val="00F955F7"/>
    <w:rsid w:val="00F956A9"/>
    <w:rsid w:val="00F963ED"/>
    <w:rsid w:val="00F966CF"/>
    <w:rsid w:val="00F96CAE"/>
    <w:rsid w:val="00F97C99"/>
    <w:rsid w:val="00FA662D"/>
    <w:rsid w:val="00FA6730"/>
    <w:rsid w:val="00FA73B1"/>
    <w:rsid w:val="00FA7684"/>
    <w:rsid w:val="00FB0CB9"/>
    <w:rsid w:val="00FB45F1"/>
    <w:rsid w:val="00FB4A72"/>
    <w:rsid w:val="00FB54E8"/>
    <w:rsid w:val="00FB7054"/>
    <w:rsid w:val="00FC17B7"/>
    <w:rsid w:val="00FC2CB7"/>
    <w:rsid w:val="00FC4090"/>
    <w:rsid w:val="00FC55B4"/>
    <w:rsid w:val="00FD00E6"/>
    <w:rsid w:val="00FD0123"/>
    <w:rsid w:val="00FD09A1"/>
    <w:rsid w:val="00FD2A7C"/>
    <w:rsid w:val="00FD59EB"/>
    <w:rsid w:val="00FD7299"/>
    <w:rsid w:val="00FE1FBE"/>
    <w:rsid w:val="00FE3901"/>
    <w:rsid w:val="00FE39D3"/>
    <w:rsid w:val="00FE4BCE"/>
    <w:rsid w:val="00FE54AE"/>
    <w:rsid w:val="00FE576A"/>
    <w:rsid w:val="00FE7E79"/>
    <w:rsid w:val="00FF3E7D"/>
    <w:rsid w:val="00FF5B99"/>
    <w:rsid w:val="00FF61D3"/>
    <w:rsid w:val="00FF730C"/>
    <w:rsid w:val="00FF73F4"/>
    <w:rsid w:val="00FF7CE4"/>
    <w:rsid w:val="00FF7E39"/>
    <w:rsid w:val="047D1717"/>
    <w:rsid w:val="0AD16A33"/>
    <w:rsid w:val="1870079C"/>
    <w:rsid w:val="22DC58EF"/>
    <w:rsid w:val="315546E5"/>
    <w:rsid w:val="349348B8"/>
    <w:rsid w:val="3FA44527"/>
    <w:rsid w:val="40136010"/>
    <w:rsid w:val="5A2C1C5B"/>
    <w:rsid w:val="5DE74E6C"/>
    <w:rsid w:val="5FFB2D97"/>
    <w:rsid w:val="60CF16E3"/>
    <w:rsid w:val="622D6B06"/>
    <w:rsid w:val="70B32C14"/>
    <w:rsid w:val="7BC24845"/>
    <w:rsid w:val="7C5414AC"/>
    <w:rsid w:val="7FFF8F96"/>
    <w:rsid w:val="BFFA0384"/>
    <w:rsid w:val="DBDAD3EF"/>
    <w:rsid w:val="DF9DCB0C"/>
    <w:rsid w:val="F7F40078"/>
    <w:rsid w:val="F8F5C5EE"/>
    <w:rsid w:val="FF25CCE2"/>
    <w:rsid w:val="FFFE2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djj\C:\Program%20Files%20(x86)\StandardEditor\template\&#34892;&#19994;&#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19EF493D3E7428793A378A39A6D124F"/>
        <w:style w:val=""/>
        <w:category>
          <w:name w:val="常规"/>
          <w:gallery w:val="placeholder"/>
        </w:category>
        <w:types>
          <w:type w:val="bbPlcHdr"/>
        </w:types>
        <w:behaviors>
          <w:behavior w:val="content"/>
        </w:behaviors>
        <w:description w:val=""/>
        <w:guid w:val="{C0ED96A4-1EA7-4E4C-91A5-3D3E5255BFB0}"/>
      </w:docPartPr>
      <w:docPartBody>
        <w:p w14:paraId="5991C5A9">
          <w:pPr>
            <w:pStyle w:val="5"/>
            <w:rPr>
              <w:rFonts w:hint="eastAsia"/>
            </w:rPr>
          </w:pPr>
          <w:r>
            <w:rPr>
              <w:rStyle w:val="4"/>
              <w:rFonts w:hint="eastAsia"/>
            </w:rPr>
            <w:t>单击或点击此处输入文字。</w:t>
          </w:r>
        </w:p>
      </w:docPartBody>
    </w:docPart>
    <w:docPart>
      <w:docPartPr>
        <w:name w:val="FBCBD77D5BEF4A09846D20054C247767"/>
        <w:style w:val=""/>
        <w:category>
          <w:name w:val="常规"/>
          <w:gallery w:val="placeholder"/>
        </w:category>
        <w:types>
          <w:type w:val="bbPlcHdr"/>
        </w:types>
        <w:behaviors>
          <w:behavior w:val="content"/>
        </w:behaviors>
        <w:description w:val=""/>
        <w:guid w:val="{007FFE94-1214-4150-B3D1-02E852EB48B3}"/>
      </w:docPartPr>
      <w:docPartBody>
        <w:p w14:paraId="53AB199C">
          <w:pPr>
            <w:pStyle w:val="6"/>
            <w:rPr>
              <w:rFonts w:hint="eastAsia"/>
            </w:rPr>
          </w:pPr>
          <w:r>
            <w:rPr>
              <w:rStyle w:val="4"/>
              <w:rFonts w:hint="eastAsia"/>
            </w:rPr>
            <w:t>选择一项。</w:t>
          </w:r>
        </w:p>
      </w:docPartBody>
    </w:docPart>
    <w:docPart>
      <w:docPartPr>
        <w:name w:val="64E9C499381F46C7832E4D69E49D0570"/>
        <w:style w:val=""/>
        <w:category>
          <w:name w:val="常规"/>
          <w:gallery w:val="placeholder"/>
        </w:category>
        <w:types>
          <w:type w:val="bbPlcHdr"/>
        </w:types>
        <w:behaviors>
          <w:behavior w:val="content"/>
        </w:behaviors>
        <w:description w:val=""/>
        <w:guid w:val="{41A202EE-9830-490B-BC3F-D0011C6F58D0}"/>
      </w:docPartPr>
      <w:docPartBody>
        <w:p w14:paraId="488EE5CA">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F36"/>
    <w:rsid w:val="001E2CD4"/>
    <w:rsid w:val="00300F93"/>
    <w:rsid w:val="00301AF2"/>
    <w:rsid w:val="00310F7A"/>
    <w:rsid w:val="00313F36"/>
    <w:rsid w:val="00333BB1"/>
    <w:rsid w:val="003D1A53"/>
    <w:rsid w:val="004773CC"/>
    <w:rsid w:val="00714986"/>
    <w:rsid w:val="00841397"/>
    <w:rsid w:val="00887309"/>
    <w:rsid w:val="00B21D11"/>
    <w:rsid w:val="00B46B9A"/>
    <w:rsid w:val="00B55185"/>
    <w:rsid w:val="00C46BDB"/>
    <w:rsid w:val="00D562E8"/>
    <w:rsid w:val="00F254C0"/>
    <w:rsid w:val="00FD0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19EF493D3E7428793A378A39A6D124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FBCBD77D5BEF4A09846D20054C247767"/>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64E9C499381F46C7832E4D69E49D057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FE12C-16EA-4F8F-A8A1-ED38DA65EEBC}">
  <ds:schemaRefs/>
</ds:datastoreItem>
</file>

<file path=docProps/app.xml><?xml version="1.0" encoding="utf-8"?>
<Properties xmlns="http://schemas.openxmlformats.org/officeDocument/2006/extended-properties" xmlns:vt="http://schemas.openxmlformats.org/officeDocument/2006/docPropsVTypes">
  <Template>行业标准.dotx</Template>
  <Company>PCMI</Company>
  <Pages>9</Pages>
  <Words>3999</Words>
  <Characters>4582</Characters>
  <Lines>1216</Lines>
  <Paragraphs>466</Paragraphs>
  <TotalTime>87</TotalTime>
  <ScaleCrop>false</ScaleCrop>
  <LinksUpToDate>false</LinksUpToDate>
  <CharactersWithSpaces>4783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2025-11-12T15:20:00Z</dcterms:created>
  <dc:creator>E14</dc:creator>
  <dc:description>&lt;config cover="true" show_menu="true" version="1.0.0" doctype="SDKXY"&gt;_x000d_
&lt;/config&gt;</dc:description>
  <cp:lastModifiedBy>董振波</cp:lastModifiedBy>
  <cp:lastPrinted>2021-02-02T16:18:00Z</cp:lastPrinted>
  <dcterms:modified xsi:type="dcterms:W3CDTF">2026-04-22T10:41:51Z</dcterms:modified>
  <dc:title>行业标准</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eyJoZGlkIjoiYjY4Yjg0ZWZhODFjY2E5NDM3NjA1YTI5N2ZhNDdjNDciLCJ1c2VySWQiOiIzOTAzMzg5NjEifQ==</vt:lpwstr>
  </property>
  <property fmtid="{D5CDD505-2E9C-101B-9397-08002B2CF9AE}" pid="15" name="KSOProductBuildVer">
    <vt:lpwstr>2052-12.1.0.25865</vt:lpwstr>
  </property>
  <property fmtid="{D5CDD505-2E9C-101B-9397-08002B2CF9AE}" pid="16" name="ICV">
    <vt:lpwstr>BF0E79830060434FB39E7C544542D2A6_13</vt:lpwstr>
  </property>
</Properties>
</file>