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0933C">
      <w:pPr>
        <w:pStyle w:val="25"/>
        <w:rPr>
          <w:rFonts w:ascii="Times New Roman"/>
        </w:rPr>
      </w:pPr>
    </w:p>
    <w:p w14:paraId="141E4163">
      <w:pPr>
        <w:pStyle w:val="19"/>
        <w:framePr w:w="0" w:hRule="auto" w:wrap="auto" w:vAnchor="margin" w:hAnchor="text" w:xAlign="left" w:yAlign="inline"/>
        <w:spacing w:line="720" w:lineRule="auto"/>
        <w:rPr>
          <w:rFonts w:ascii="Times New Roman"/>
          <w:sz w:val="36"/>
          <w:szCs w:val="36"/>
        </w:rPr>
      </w:pPr>
      <w:r>
        <w:rPr>
          <w:rFonts w:hint="eastAsia" w:ascii="Times New Roman"/>
          <w:sz w:val="36"/>
          <w:szCs w:val="36"/>
        </w:rPr>
        <w:t>《</w:t>
      </w:r>
      <w:r>
        <w:rPr>
          <w:sz w:val="36"/>
          <w:szCs w:val="36"/>
        </w:rPr>
        <w:t>农资</w:t>
      </w:r>
      <w:r>
        <w:rPr>
          <w:rFonts w:hint="eastAsia"/>
          <w:sz w:val="36"/>
          <w:szCs w:val="36"/>
        </w:rPr>
        <w:t>（</w:t>
      </w:r>
      <w:r>
        <w:rPr>
          <w:sz w:val="36"/>
          <w:szCs w:val="36"/>
        </w:rPr>
        <w:t>储备</w:t>
      </w:r>
      <w:r>
        <w:rPr>
          <w:rFonts w:hint="eastAsia"/>
          <w:sz w:val="36"/>
          <w:szCs w:val="36"/>
        </w:rPr>
        <w:t>）</w:t>
      </w:r>
      <w:r>
        <w:rPr>
          <w:sz w:val="36"/>
          <w:szCs w:val="36"/>
        </w:rPr>
        <w:t>库建设与管理规范</w:t>
      </w:r>
      <w:r>
        <w:rPr>
          <w:rFonts w:hint="eastAsia" w:ascii="Times New Roman"/>
          <w:sz w:val="36"/>
          <w:szCs w:val="36"/>
        </w:rPr>
        <w:t>》</w:t>
      </w:r>
    </w:p>
    <w:p w14:paraId="74C69C08">
      <w:pPr>
        <w:pStyle w:val="19"/>
        <w:framePr w:w="0" w:hRule="auto" w:wrap="auto" w:vAnchor="margin" w:hAnchor="text" w:xAlign="left" w:yAlign="inline"/>
        <w:spacing w:line="720" w:lineRule="auto"/>
        <w:rPr>
          <w:rFonts w:ascii="Times New Roman"/>
          <w:sz w:val="36"/>
          <w:szCs w:val="36"/>
        </w:rPr>
      </w:pPr>
      <w:r>
        <w:rPr>
          <w:rFonts w:hint="eastAsia" w:ascii="Times New Roman"/>
          <w:sz w:val="36"/>
          <w:szCs w:val="36"/>
          <w:lang w:eastAsia="zh-CN"/>
        </w:rPr>
        <w:t>供销合作行业</w:t>
      </w:r>
      <w:r>
        <w:rPr>
          <w:rFonts w:hint="eastAsia" w:ascii="Times New Roman"/>
          <w:sz w:val="36"/>
          <w:szCs w:val="36"/>
        </w:rPr>
        <w:t>标准</w:t>
      </w:r>
    </w:p>
    <w:p w14:paraId="03043027">
      <w:pPr>
        <w:pStyle w:val="19"/>
        <w:framePr w:w="0" w:hRule="auto" w:wrap="auto" w:vAnchor="margin" w:hAnchor="text" w:xAlign="left" w:yAlign="inline"/>
        <w:spacing w:line="720" w:lineRule="auto"/>
        <w:rPr>
          <w:rFonts w:ascii="Times New Roman"/>
          <w:sz w:val="30"/>
          <w:szCs w:val="30"/>
        </w:rPr>
      </w:pPr>
      <w:r>
        <w:rPr>
          <w:rFonts w:hint="eastAsia" w:ascii="Times New Roman"/>
          <w:sz w:val="30"/>
          <w:szCs w:val="30"/>
        </w:rPr>
        <w:t>（</w:t>
      </w:r>
      <w:r>
        <w:rPr>
          <w:rFonts w:hint="eastAsia" w:ascii="Times New Roman"/>
          <w:sz w:val="30"/>
          <w:szCs w:val="30"/>
          <w:lang w:eastAsia="zh-CN"/>
        </w:rPr>
        <w:t>征求意见</w:t>
      </w:r>
      <w:r>
        <w:rPr>
          <w:rFonts w:hint="eastAsia" w:ascii="Times New Roman"/>
          <w:sz w:val="30"/>
          <w:szCs w:val="30"/>
        </w:rPr>
        <w:t>稿）</w:t>
      </w:r>
    </w:p>
    <w:p w14:paraId="69988085">
      <w:pPr>
        <w:pStyle w:val="19"/>
        <w:framePr w:w="0" w:hRule="auto" w:wrap="auto" w:vAnchor="margin" w:hAnchor="text" w:xAlign="left" w:yAlign="inline"/>
        <w:spacing w:line="720" w:lineRule="auto"/>
        <w:rPr>
          <w:rFonts w:ascii="Times New Roman"/>
          <w:sz w:val="30"/>
          <w:szCs w:val="30"/>
        </w:rPr>
      </w:pPr>
    </w:p>
    <w:p w14:paraId="431B3913">
      <w:pPr>
        <w:pStyle w:val="19"/>
        <w:framePr w:w="0" w:hRule="auto" w:wrap="auto" w:vAnchor="margin" w:hAnchor="text" w:xAlign="left" w:yAlign="inline"/>
        <w:spacing w:line="720" w:lineRule="auto"/>
        <w:rPr>
          <w:rFonts w:ascii="Times New Roman"/>
          <w:sz w:val="44"/>
          <w:szCs w:val="44"/>
        </w:rPr>
      </w:pPr>
    </w:p>
    <w:p w14:paraId="4F9BF917">
      <w:pPr>
        <w:pStyle w:val="19"/>
        <w:framePr w:w="0" w:hRule="auto" w:wrap="auto" w:vAnchor="margin" w:hAnchor="text" w:xAlign="left" w:yAlign="inline"/>
        <w:spacing w:line="720" w:lineRule="auto"/>
        <w:rPr>
          <w:rFonts w:ascii="Times New Roman"/>
          <w:sz w:val="44"/>
          <w:szCs w:val="44"/>
        </w:rPr>
      </w:pPr>
    </w:p>
    <w:p w14:paraId="1BE93CA4">
      <w:pPr>
        <w:pStyle w:val="19"/>
        <w:framePr w:w="0" w:hRule="auto" w:wrap="auto" w:vAnchor="margin" w:hAnchor="text" w:xAlign="left" w:yAlign="inline"/>
        <w:spacing w:line="720" w:lineRule="auto"/>
        <w:rPr>
          <w:rFonts w:ascii="Times New Roman"/>
          <w:sz w:val="44"/>
          <w:szCs w:val="48"/>
        </w:rPr>
      </w:pPr>
      <w:r>
        <w:rPr>
          <w:rFonts w:hint="eastAsia" w:ascii="Times New Roman" w:eastAsia="宋体"/>
          <w:b/>
          <w:sz w:val="44"/>
          <w:szCs w:val="48"/>
        </w:rPr>
        <w:t>编制说明</w:t>
      </w:r>
    </w:p>
    <w:p w14:paraId="2EAF2C29"/>
    <w:p w14:paraId="068D7F39"/>
    <w:p w14:paraId="27AE89DA"/>
    <w:p w14:paraId="35C72B57"/>
    <w:p w14:paraId="7D95FA3F"/>
    <w:p w14:paraId="23AF68EE"/>
    <w:p w14:paraId="26A9A335">
      <w:pPr>
        <w:jc w:val="center"/>
      </w:pPr>
      <w:r>
        <w:rPr>
          <w:rFonts w:hint="eastAsia"/>
        </w:rPr>
        <w:t>标准起草工作组</w:t>
      </w:r>
    </w:p>
    <w:p w14:paraId="70A4B68B">
      <w:pPr>
        <w:jc w:val="center"/>
      </w:pPr>
      <w:r>
        <w:rPr>
          <w:rFonts w:hint="eastAsia"/>
        </w:rPr>
        <w:t>二〇二</w:t>
      </w:r>
      <w:r>
        <w:rPr>
          <w:rFonts w:hint="eastAsia"/>
          <w:lang w:eastAsia="zh-CN"/>
        </w:rPr>
        <w:t>六</w:t>
      </w:r>
      <w:r>
        <w:rPr>
          <w:rFonts w:hint="eastAsia"/>
        </w:rPr>
        <w:t>年</w:t>
      </w:r>
      <w:r>
        <w:rPr>
          <w:rFonts w:hint="eastAsia"/>
          <w:lang w:eastAsia="zh-CN"/>
        </w:rPr>
        <w:t>四</w:t>
      </w:r>
      <w:r>
        <w:rPr>
          <w:rFonts w:hint="eastAsia"/>
        </w:rPr>
        <w:t>月</w:t>
      </w:r>
    </w:p>
    <w:p w14:paraId="73AB1EBF">
      <w:pPr>
        <w:pStyle w:val="19"/>
        <w:framePr w:w="0" w:hRule="auto" w:wrap="auto" w:vAnchor="margin" w:hAnchor="text" w:xAlign="left" w:yAlign="inline"/>
        <w:spacing w:line="480" w:lineRule="auto"/>
        <w:jc w:val="both"/>
        <w:rPr>
          <w:rFonts w:ascii="Times New Roman" w:cs="黑体"/>
          <w:sz w:val="36"/>
          <w:szCs w:val="36"/>
        </w:rPr>
      </w:pPr>
    </w:p>
    <w:p w14:paraId="0FA65179">
      <w:pPr>
        <w:pStyle w:val="19"/>
        <w:framePr w:w="0" w:hRule="auto" w:wrap="auto" w:vAnchor="margin" w:hAnchor="text" w:xAlign="left" w:yAlign="inline"/>
        <w:spacing w:line="480" w:lineRule="auto"/>
        <w:rPr>
          <w:rFonts w:ascii="Times New Roman" w:cs="黑体"/>
          <w:sz w:val="36"/>
          <w:szCs w:val="36"/>
        </w:rPr>
        <w:sectPr>
          <w:footerReference r:id="rId5" w:type="first"/>
          <w:pgSz w:w="11906" w:h="16838"/>
          <w:pgMar w:top="1134" w:right="1701" w:bottom="1134" w:left="1701" w:header="851" w:footer="851" w:gutter="0"/>
          <w:pgNumType w:start="1"/>
          <w:cols w:space="425" w:num="1"/>
          <w:docGrid w:type="lines" w:linePitch="312" w:charSpace="0"/>
        </w:sectPr>
      </w:pPr>
    </w:p>
    <w:p w14:paraId="63EB466C">
      <w:pPr>
        <w:pStyle w:val="19"/>
        <w:framePr w:w="0" w:hRule="auto" w:wrap="auto" w:vAnchor="margin" w:hAnchor="text" w:xAlign="left" w:yAlign="inline"/>
        <w:spacing w:line="480" w:lineRule="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供销合作行业标准</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eastAsia="zh-CN"/>
        </w:rPr>
        <w:t>农资（储备）库建设与管理规范</w:t>
      </w:r>
      <w:r>
        <w:rPr>
          <w:rFonts w:hint="eastAsia" w:ascii="方正小标宋简体" w:hAnsi="方正小标宋简体" w:eastAsia="方正小标宋简体" w:cs="方正小标宋简体"/>
          <w:sz w:val="36"/>
          <w:szCs w:val="36"/>
        </w:rPr>
        <w:t>》编制说明</w:t>
      </w:r>
    </w:p>
    <w:p w14:paraId="51DB1A19"/>
    <w:p w14:paraId="14556DB3">
      <w:pPr>
        <w:ind w:firstLine="482"/>
        <w:rPr>
          <w:rFonts w:ascii="Times New Roman" w:hAnsi="Times New Roman"/>
          <w:b/>
          <w:bCs/>
          <w:sz w:val="21"/>
        </w:rPr>
      </w:pPr>
      <w:r>
        <w:rPr>
          <w:rFonts w:hint="eastAsia" w:ascii="Times New Roman" w:hAnsi="Times New Roman"/>
          <w:b/>
          <w:bCs/>
          <w:sz w:val="21"/>
        </w:rPr>
        <w:t>一、任务来源</w:t>
      </w:r>
    </w:p>
    <w:p w14:paraId="2A3A24C9">
      <w:pPr>
        <w:spacing w:line="480" w:lineRule="exact"/>
        <w:ind w:firstLine="420"/>
        <w:outlineLvl w:val="1"/>
        <w:rPr>
          <w:rFonts w:ascii="Times New Roman" w:hAnsi="Times New Roman"/>
          <w:sz w:val="21"/>
          <w:lang w:bidi="ar"/>
        </w:rPr>
      </w:pPr>
      <w:r>
        <w:rPr>
          <w:rFonts w:hint="eastAsia" w:ascii="Times New Roman" w:hAnsi="Times New Roman" w:cs="仿宋"/>
          <w:sz w:val="21"/>
          <w:szCs w:val="28"/>
          <w:highlight w:val="none"/>
        </w:rPr>
        <w:t>《农资（储备）库建设与管理规范》</w:t>
      </w:r>
      <w:r>
        <w:rPr>
          <w:rFonts w:hint="eastAsia" w:ascii="Times New Roman" w:hAnsi="Times New Roman" w:cs="仿宋"/>
          <w:sz w:val="21"/>
          <w:szCs w:val="28"/>
          <w:highlight w:val="none"/>
          <w:lang w:eastAsia="zh-CN"/>
        </w:rPr>
        <w:t>供销合作</w:t>
      </w:r>
      <w:r>
        <w:rPr>
          <w:rFonts w:hint="eastAsia" w:ascii="Times New Roman" w:hAnsi="Times New Roman" w:cs="仿宋"/>
          <w:sz w:val="21"/>
          <w:szCs w:val="28"/>
          <w:highlight w:val="none"/>
        </w:rPr>
        <w:t>行业标准依据中华全国供销合作总社（以下简称总社）《</w:t>
      </w:r>
      <w:r>
        <w:rPr>
          <w:rFonts w:hint="eastAsia" w:ascii="Times New Roman" w:hAnsi="Times New Roman"/>
          <w:sz w:val="21"/>
          <w:lang w:bidi="ar"/>
        </w:rPr>
        <w:t>关于下达2025年供销合作社归口标准体系与行业品牌建设项目计划的通知》（供销厅科社</w:t>
      </w:r>
      <w:r>
        <w:rPr>
          <w:rFonts w:hint="eastAsia" w:ascii="Times New Roman" w:hAnsi="Times New Roman" w:eastAsia="楷体_GB2312" w:cs="楷体_GB2312"/>
          <w:sz w:val="21"/>
          <w:lang w:bidi="ar"/>
        </w:rPr>
        <w:t>〔</w:t>
      </w:r>
      <w:r>
        <w:rPr>
          <w:rFonts w:hint="eastAsia" w:ascii="Times New Roman" w:hAnsi="Times New Roman" w:eastAsia="楷体_GB2312" w:cs="楷体_GB2312"/>
          <w:sz w:val="21"/>
          <w:lang w:val="en-US" w:eastAsia="zh-CN" w:bidi="ar"/>
        </w:rPr>
        <w:t>2025</w:t>
      </w:r>
      <w:r>
        <w:rPr>
          <w:rFonts w:hint="eastAsia" w:ascii="Times New Roman" w:hAnsi="Times New Roman" w:eastAsia="楷体_GB2312" w:cs="楷体_GB2312"/>
          <w:sz w:val="21"/>
          <w:lang w:bidi="ar"/>
        </w:rPr>
        <w:t>〕</w:t>
      </w:r>
      <w:r>
        <w:rPr>
          <w:rFonts w:hint="eastAsia" w:ascii="Times New Roman" w:hAnsi="Times New Roman"/>
          <w:sz w:val="21"/>
          <w:lang w:bidi="ar"/>
        </w:rPr>
        <w:t>43号）</w:t>
      </w:r>
      <w:r>
        <w:rPr>
          <w:rFonts w:hint="eastAsia" w:ascii="Times New Roman" w:hAnsi="Times New Roman" w:cs="仿宋"/>
          <w:sz w:val="21"/>
          <w:szCs w:val="28"/>
          <w:highlight w:val="none"/>
        </w:rPr>
        <w:t>编制，项目计划编号为</w:t>
      </w:r>
      <w:r>
        <w:rPr>
          <w:rFonts w:hint="eastAsia" w:ascii="Times New Roman" w:hAnsi="Times New Roman"/>
          <w:sz w:val="21"/>
          <w:lang w:bidi="ar"/>
        </w:rPr>
        <w:t>2025GH-ZD-02</w:t>
      </w:r>
      <w:r>
        <w:rPr>
          <w:rFonts w:hint="eastAsia" w:ascii="Times New Roman" w:hAnsi="Times New Roman" w:cs="仿宋"/>
          <w:sz w:val="21"/>
          <w:szCs w:val="28"/>
          <w:highlight w:val="none"/>
        </w:rPr>
        <w:t>。本标准由</w:t>
      </w:r>
      <w:r>
        <w:rPr>
          <w:rFonts w:hint="eastAsia" w:ascii="Times New Roman" w:hAnsi="Times New Roman" w:cs="仿宋"/>
          <w:sz w:val="21"/>
          <w:szCs w:val="28"/>
        </w:rPr>
        <w:t>中国农业生产资料流通协会</w:t>
      </w:r>
      <w:r>
        <w:rPr>
          <w:rFonts w:hint="eastAsia" w:ascii="Times New Roman" w:hAnsi="Times New Roman" w:cs="仿宋"/>
          <w:sz w:val="21"/>
          <w:szCs w:val="28"/>
          <w:highlight w:val="none"/>
        </w:rPr>
        <w:t>提出并归口，由</w:t>
      </w:r>
      <w:r>
        <w:rPr>
          <w:rFonts w:hint="eastAsia" w:ascii="Times New Roman" w:hAnsi="Times New Roman"/>
          <w:sz w:val="21"/>
          <w:highlight w:val="none"/>
        </w:rPr>
        <w:t>中国农业生产资料流通协会、</w:t>
      </w:r>
      <w:r>
        <w:rPr>
          <w:rFonts w:hint="eastAsia" w:ascii="Times New Roman" w:hAnsi="Times New Roman"/>
          <w:sz w:val="21"/>
          <w:lang w:bidi="ar"/>
        </w:rPr>
        <w:t>中农聚田</w:t>
      </w:r>
      <w:r>
        <w:rPr>
          <w:rFonts w:hint="eastAsia" w:ascii="Times New Roman" w:hAnsi="Times New Roman"/>
          <w:sz w:val="21"/>
          <w:lang w:eastAsia="zh-CN" w:bidi="ar"/>
        </w:rPr>
        <w:t>（</w:t>
      </w:r>
      <w:r>
        <w:rPr>
          <w:rFonts w:hint="eastAsia" w:ascii="Times New Roman" w:hAnsi="Times New Roman"/>
          <w:sz w:val="21"/>
          <w:lang w:bidi="ar"/>
        </w:rPr>
        <w:t>北京</w:t>
      </w:r>
      <w:r>
        <w:rPr>
          <w:rFonts w:hint="eastAsia" w:ascii="Times New Roman" w:hAnsi="Times New Roman"/>
          <w:sz w:val="21"/>
          <w:lang w:eastAsia="zh-CN" w:bidi="ar"/>
        </w:rPr>
        <w:t>）</w:t>
      </w:r>
      <w:r>
        <w:rPr>
          <w:rFonts w:hint="eastAsia" w:ascii="Times New Roman" w:hAnsi="Times New Roman"/>
          <w:sz w:val="21"/>
          <w:lang w:bidi="ar"/>
        </w:rPr>
        <w:t>农业科技有限公司、安徽辉隆农资集团股份有限公司、浙农集团股份有限公司、黑龙江倍丰农业生产资料集团有限公司、广东天禾农资股份有限公司</w:t>
      </w:r>
      <w:r>
        <w:rPr>
          <w:rFonts w:hint="eastAsia" w:ascii="Times New Roman" w:hAnsi="Times New Roman" w:cs="仿宋"/>
          <w:sz w:val="21"/>
          <w:szCs w:val="28"/>
          <w:highlight w:val="none"/>
        </w:rPr>
        <w:t>等单位</w:t>
      </w:r>
      <w:r>
        <w:rPr>
          <w:rFonts w:hint="eastAsia" w:ascii="Times New Roman" w:hAnsi="Times New Roman" w:cs="仿宋"/>
          <w:sz w:val="21"/>
          <w:szCs w:val="28"/>
          <w:highlight w:val="none"/>
          <w:lang w:val="en-US" w:eastAsia="zh-CN"/>
        </w:rPr>
        <w:t>联合起草编制</w:t>
      </w:r>
      <w:r>
        <w:rPr>
          <w:rFonts w:hint="eastAsia" w:ascii="Times New Roman" w:hAnsi="Times New Roman" w:cs="仿宋"/>
          <w:sz w:val="21"/>
          <w:szCs w:val="28"/>
          <w:highlight w:val="none"/>
        </w:rPr>
        <w:t>。本标准是新制定的供销合作行业标准。</w:t>
      </w:r>
    </w:p>
    <w:p w14:paraId="0DA1AE61">
      <w:pPr>
        <w:pStyle w:val="27"/>
        <w:numPr>
          <w:ilvl w:val="0"/>
          <w:numId w:val="8"/>
        </w:numPr>
        <w:ind w:firstLineChars="0"/>
        <w:rPr>
          <w:rFonts w:ascii="Times New Roman" w:hAnsi="Times New Roman"/>
          <w:b/>
          <w:bCs/>
          <w:sz w:val="21"/>
        </w:rPr>
      </w:pPr>
      <w:r>
        <w:rPr>
          <w:rFonts w:hint="eastAsia" w:ascii="Times New Roman" w:hAnsi="Times New Roman"/>
          <w:b/>
          <w:bCs/>
          <w:sz w:val="21"/>
        </w:rPr>
        <w:t>标准制定背景</w:t>
      </w:r>
    </w:p>
    <w:p w14:paraId="30655D62">
      <w:pPr>
        <w:rPr>
          <w:rFonts w:hint="eastAsia" w:ascii="Times New Roman" w:hAnsi="Times New Roman"/>
          <w:sz w:val="21"/>
          <w:lang w:bidi="ar"/>
        </w:rPr>
      </w:pPr>
      <w:r>
        <w:rPr>
          <w:rFonts w:hint="eastAsia" w:ascii="Times New Roman" w:hAnsi="Times New Roman"/>
          <w:sz w:val="21"/>
          <w:lang w:bidi="ar"/>
        </w:rPr>
        <w:t>当前，我国农资仓储设施建设面临双重困境。一方面，设施供给总量不足且新建困难。受城市功能规划调整影响，农资仓储用地获取难度加大；各地对投资强度、税收回报等设定的高门槛，导致项目审批落地难、建设及运营成本高企。另一方面，多数农资流通企业主要依赖社会租赁仓储设施，存在显著弊端。租赁费用随市场行情波动，难以发挥平抑农资价格的逆周期调控作用。同时，化肥等农资具有占地大、货值低、腐蚀性强的特点，导致硬件条件优越的仓库不愿接收，而设施简陋的仓库（甚至露天堆场）普遍存在智能化水平低、中转效率差等问题，无法满足应急储备调控的需求。</w:t>
      </w:r>
    </w:p>
    <w:p w14:paraId="10570805">
      <w:pPr>
        <w:rPr>
          <w:rFonts w:hint="eastAsia" w:ascii="Times New Roman" w:hAnsi="Times New Roman"/>
          <w:sz w:val="21"/>
          <w:lang w:bidi="ar"/>
        </w:rPr>
      </w:pPr>
      <w:r>
        <w:rPr>
          <w:rFonts w:hint="eastAsia" w:ascii="Times New Roman" w:hAnsi="Times New Roman"/>
          <w:sz w:val="21"/>
          <w:lang w:bidi="ar"/>
        </w:rPr>
        <w:t>为贯彻落实党中央、国务院关于做好农资保供稳价工作的决策部署，加快提升我国农资储备能力，更好服务保障国家粮食安全和重要农产品稳定安全供给，全国供销合作总社发布了《全国供销合作社农资网络体系建设专项规划（2024—2028年）》（以下简称《规划》），对国家战略性农资（储备）库的建设和布局提出了明确要求。“十五五”期间全国供销合作社系统将聚焦服务保障国家粮食安全，全力做好农资保供工作。围绕加力实施新一轮千亿斤粮食产能提升行动，紧扣提升农业综合生产能力和质量效益，完善农资流通服务网络，增强农资供应链韧性，全面提升供销合作社农资保供和服务水平。为此，将持续落实全国供销合作社农资网络体系建设五年专项规划，壮大农资龙头企业，加快建设现代农资仓储设施体系，“十五五”期间完成100个左右国家战略性农资（储备）库、1000个左右县域农资配送中心新建或改造任务。</w:t>
      </w:r>
    </w:p>
    <w:p w14:paraId="2E196276">
      <w:pPr>
        <w:rPr>
          <w:rFonts w:hint="eastAsia" w:ascii="Times New Roman" w:hAnsi="Times New Roman"/>
          <w:sz w:val="21"/>
          <w:lang w:bidi="ar"/>
        </w:rPr>
      </w:pPr>
      <w:r>
        <w:rPr>
          <w:rFonts w:hint="eastAsia" w:ascii="Times New Roman" w:hAnsi="Times New Roman"/>
          <w:sz w:val="21"/>
          <w:lang w:bidi="ar"/>
        </w:rPr>
        <w:t>在此背景下，中国农业生产资料流通协会（以下简称协会）积极响应农资行业及供销合作社系统农资企业的实际需求，于2024年先行制定了团体标准《国家战略性农资（储备）库建设与管理规范》（T/CAMPA 004-2024）。为进一步扩大该标准的应用范围，推动其在全行业的实施，现拟将该团体标准升级为供销合作行业标准，该项工作与《规划》要求高度一致。</w:t>
      </w:r>
    </w:p>
    <w:p w14:paraId="1D1535CB">
      <w:pPr>
        <w:rPr>
          <w:rFonts w:ascii="Times New Roman" w:hAnsi="Times New Roman"/>
          <w:sz w:val="21"/>
          <w:lang w:bidi="ar"/>
        </w:rPr>
      </w:pPr>
      <w:r>
        <w:rPr>
          <w:rFonts w:hint="eastAsia" w:ascii="Times New Roman" w:hAnsi="Times New Roman"/>
          <w:sz w:val="21"/>
          <w:lang w:bidi="ar"/>
        </w:rPr>
        <w:t>协会作为全国性农资行业社团组织，已连续多年开展农资仓储、配送课题研究和标准制定工作，在引导农资行业规范化发展、提升企业综合竞争力方面积累了丰富经验。基于上述现实需求与工作基础，协会决定开展供销合作行业标准《农资（储备）库建设与管理规范》制定工作，以填补该领域行业标准的空白。</w:t>
      </w:r>
    </w:p>
    <w:p w14:paraId="698458F4">
      <w:pPr>
        <w:pStyle w:val="27"/>
        <w:numPr>
          <w:ilvl w:val="0"/>
          <w:numId w:val="9"/>
        </w:numPr>
        <w:ind w:firstLineChars="0"/>
        <w:rPr>
          <w:rFonts w:ascii="Times New Roman" w:hAnsi="Times New Roman"/>
          <w:b/>
          <w:bCs/>
          <w:sz w:val="21"/>
        </w:rPr>
      </w:pPr>
      <w:r>
        <w:rPr>
          <w:rFonts w:hint="eastAsia" w:ascii="Times New Roman" w:hAnsi="Times New Roman"/>
          <w:b/>
          <w:bCs/>
          <w:sz w:val="21"/>
        </w:rPr>
        <w:t>标准起草过程</w:t>
      </w:r>
    </w:p>
    <w:p w14:paraId="63EAC4C2">
      <w:pPr>
        <w:ind w:firstLine="482"/>
        <w:rPr>
          <w:rFonts w:hint="eastAsia" w:ascii="Times New Roman" w:hAnsi="Times New Roman" w:eastAsia="宋体"/>
          <w:b/>
          <w:bCs/>
          <w:sz w:val="21"/>
          <w:lang w:eastAsia="zh-CN"/>
        </w:rPr>
      </w:pPr>
      <w:r>
        <w:rPr>
          <w:rFonts w:hint="eastAsia" w:ascii="Times New Roman" w:hAnsi="Times New Roman"/>
          <w:b/>
          <w:bCs/>
          <w:sz w:val="21"/>
        </w:rPr>
        <w:t>（一）成立标准编制工作组</w:t>
      </w:r>
    </w:p>
    <w:p w14:paraId="171D2AC1">
      <w:pPr>
        <w:rPr>
          <w:rFonts w:hint="eastAsia" w:ascii="Times New Roman" w:hAnsi="Times New Roman"/>
          <w:sz w:val="21"/>
          <w:lang w:bidi="ar"/>
        </w:rPr>
      </w:pPr>
      <w:r>
        <w:rPr>
          <w:rFonts w:hint="eastAsia" w:ascii="Times New Roman" w:hAnsi="Times New Roman"/>
          <w:sz w:val="21"/>
          <w:lang w:val="en-US" w:eastAsia="zh-CN" w:bidi="ar"/>
        </w:rPr>
        <w:t>2025年10月</w:t>
      </w:r>
      <w:r>
        <w:rPr>
          <w:rFonts w:hint="eastAsia" w:ascii="Times New Roman" w:hAnsi="Times New Roman"/>
          <w:sz w:val="21"/>
          <w:lang w:eastAsia="zh-CN" w:bidi="ar"/>
        </w:rPr>
        <w:t>，总社下发《</w:t>
      </w:r>
      <w:r>
        <w:rPr>
          <w:rFonts w:hint="eastAsia" w:ascii="Times New Roman" w:hAnsi="Times New Roman"/>
          <w:sz w:val="21"/>
          <w:lang w:bidi="ar"/>
        </w:rPr>
        <w:t>关于下达2025年供销合作社归口标准体系与行业品牌建设项目计划的通知》（供销厅科社</w:t>
      </w:r>
      <w:r>
        <w:rPr>
          <w:rFonts w:hint="eastAsia" w:ascii="Times New Roman" w:hAnsi="Times New Roman" w:eastAsia="楷体_GB2312" w:cs="楷体_GB2312"/>
          <w:sz w:val="21"/>
          <w:lang w:bidi="ar"/>
        </w:rPr>
        <w:t>〔</w:t>
      </w:r>
      <w:r>
        <w:rPr>
          <w:rFonts w:hint="eastAsia" w:ascii="Times New Roman" w:hAnsi="Times New Roman" w:eastAsia="楷体_GB2312" w:cs="楷体_GB2312"/>
          <w:sz w:val="21"/>
          <w:lang w:val="en-US" w:eastAsia="zh-CN" w:bidi="ar"/>
        </w:rPr>
        <w:t>2025</w:t>
      </w:r>
      <w:r>
        <w:rPr>
          <w:rFonts w:hint="eastAsia" w:ascii="Times New Roman" w:hAnsi="Times New Roman" w:eastAsia="楷体_GB2312" w:cs="楷体_GB2312"/>
          <w:sz w:val="21"/>
          <w:lang w:bidi="ar"/>
        </w:rPr>
        <w:t>〕</w:t>
      </w:r>
      <w:r>
        <w:rPr>
          <w:rFonts w:hint="eastAsia" w:ascii="Times New Roman" w:hAnsi="Times New Roman"/>
          <w:sz w:val="21"/>
          <w:lang w:bidi="ar"/>
        </w:rPr>
        <w:t>43号）</w:t>
      </w:r>
      <w:r>
        <w:rPr>
          <w:rFonts w:hint="eastAsia" w:ascii="Times New Roman" w:hAnsi="Times New Roman"/>
          <w:sz w:val="21"/>
          <w:lang w:eastAsia="zh-CN" w:bidi="ar"/>
        </w:rPr>
        <w:t>后，</w:t>
      </w:r>
      <w:r>
        <w:rPr>
          <w:rFonts w:hint="eastAsia" w:ascii="Times New Roman" w:hAnsi="Times New Roman"/>
          <w:sz w:val="21"/>
          <w:lang w:bidi="ar"/>
        </w:rPr>
        <w:t>第一时间成立了标准编制组，着手制定了标准编制的工作方案，包括项目工作计划、编制组职责安排，同时编制形成标准基本框架大纲。</w:t>
      </w:r>
    </w:p>
    <w:p w14:paraId="17FECCF7">
      <w:pPr>
        <w:spacing w:line="480" w:lineRule="exact"/>
        <w:ind w:firstLine="422" w:firstLineChars="200"/>
        <w:outlineLvl w:val="1"/>
        <w:rPr>
          <w:rFonts w:ascii="Times New Roman" w:hAnsi="Times New Roman"/>
          <w:b/>
          <w:bCs/>
          <w:sz w:val="21"/>
          <w:szCs w:val="28"/>
          <w:highlight w:val="none"/>
        </w:rPr>
      </w:pPr>
      <w:r>
        <w:rPr>
          <w:rFonts w:hint="eastAsia" w:ascii="Times New Roman" w:hAnsi="Times New Roman"/>
          <w:b/>
          <w:bCs/>
          <w:sz w:val="21"/>
          <w:szCs w:val="28"/>
          <w:highlight w:val="none"/>
        </w:rPr>
        <w:t>（二）资料收集</w:t>
      </w:r>
    </w:p>
    <w:p w14:paraId="17C58EB2">
      <w:pPr>
        <w:rPr>
          <w:rFonts w:ascii="Times New Roman" w:hAnsi="Times New Roman"/>
          <w:sz w:val="21"/>
          <w:lang w:bidi="ar"/>
        </w:rPr>
      </w:pPr>
      <w:r>
        <w:rPr>
          <w:rFonts w:hint="eastAsia" w:ascii="Times New Roman" w:hAnsi="Times New Roman" w:cs="仿宋"/>
          <w:sz w:val="21"/>
          <w:szCs w:val="28"/>
          <w:highlight w:val="none"/>
        </w:rPr>
        <w:t>编制组在标准草案编制过程中，于20</w:t>
      </w:r>
      <w:r>
        <w:rPr>
          <w:rFonts w:hint="eastAsia" w:ascii="Times New Roman" w:hAnsi="Times New Roman" w:cs="仿宋"/>
          <w:sz w:val="21"/>
          <w:szCs w:val="28"/>
          <w:highlight w:val="none"/>
          <w:lang w:val="en-US" w:eastAsia="zh-CN"/>
        </w:rPr>
        <w:t>25</w:t>
      </w:r>
      <w:r>
        <w:rPr>
          <w:rFonts w:hint="eastAsia" w:ascii="Times New Roman" w:hAnsi="Times New Roman" w:cs="仿宋"/>
          <w:sz w:val="21"/>
          <w:szCs w:val="28"/>
          <w:highlight w:val="none"/>
        </w:rPr>
        <w:t>年</w:t>
      </w:r>
      <w:r>
        <w:rPr>
          <w:rFonts w:hint="eastAsia" w:ascii="Times New Roman" w:hAnsi="Times New Roman" w:cs="仿宋"/>
          <w:sz w:val="21"/>
          <w:szCs w:val="28"/>
          <w:highlight w:val="none"/>
          <w:lang w:val="en-US" w:eastAsia="zh-CN"/>
        </w:rPr>
        <w:t>10</w:t>
      </w:r>
      <w:r>
        <w:rPr>
          <w:rFonts w:hint="eastAsia" w:ascii="Times New Roman" w:hAnsi="Times New Roman" w:cs="仿宋"/>
          <w:sz w:val="21"/>
          <w:szCs w:val="28"/>
          <w:highlight w:val="none"/>
        </w:rPr>
        <w:t>月</w:t>
      </w:r>
      <w:r>
        <w:rPr>
          <w:rFonts w:hint="eastAsia" w:ascii="Times New Roman" w:hAnsi="Times New Roman" w:cs="仿宋"/>
          <w:sz w:val="21"/>
          <w:szCs w:val="28"/>
          <w:highlight w:val="none"/>
          <w:lang w:eastAsia="zh-CN"/>
        </w:rPr>
        <w:t>中旬</w:t>
      </w:r>
      <w:r>
        <w:rPr>
          <w:rFonts w:hint="eastAsia" w:ascii="Times New Roman" w:hAnsi="Times New Roman" w:cs="仿宋"/>
          <w:sz w:val="21"/>
          <w:szCs w:val="28"/>
          <w:highlight w:val="none"/>
        </w:rPr>
        <w:t>至</w:t>
      </w:r>
      <w:r>
        <w:rPr>
          <w:rFonts w:hint="eastAsia" w:ascii="Times New Roman" w:hAnsi="Times New Roman" w:cs="仿宋"/>
          <w:sz w:val="21"/>
          <w:szCs w:val="28"/>
          <w:highlight w:val="none"/>
          <w:lang w:val="en-US" w:eastAsia="zh-CN"/>
        </w:rPr>
        <w:t>11</w:t>
      </w:r>
      <w:r>
        <w:rPr>
          <w:rFonts w:hint="eastAsia" w:ascii="Times New Roman" w:hAnsi="Times New Roman" w:cs="仿宋"/>
          <w:sz w:val="21"/>
          <w:szCs w:val="28"/>
          <w:highlight w:val="none"/>
        </w:rPr>
        <w:t>月</w:t>
      </w:r>
      <w:r>
        <w:rPr>
          <w:rFonts w:hint="eastAsia" w:ascii="Times New Roman" w:hAnsi="Times New Roman" w:cs="仿宋"/>
          <w:sz w:val="21"/>
          <w:szCs w:val="28"/>
          <w:highlight w:val="none"/>
          <w:lang w:eastAsia="zh-CN"/>
        </w:rPr>
        <w:t>中旬</w:t>
      </w:r>
      <w:r>
        <w:rPr>
          <w:rFonts w:hint="eastAsia" w:ascii="Times New Roman" w:hAnsi="Times New Roman" w:cs="仿宋"/>
          <w:sz w:val="21"/>
          <w:szCs w:val="28"/>
          <w:highlight w:val="none"/>
        </w:rPr>
        <w:t>集中对</w:t>
      </w:r>
      <w:r>
        <w:rPr>
          <w:rFonts w:hint="eastAsia" w:ascii="Times New Roman" w:hAnsi="Times New Roman" w:cs="仿宋"/>
          <w:sz w:val="21"/>
          <w:szCs w:val="28"/>
          <w:highlight w:val="none"/>
          <w:lang w:eastAsia="zh-CN"/>
        </w:rPr>
        <w:t>标准编制的</w:t>
      </w:r>
      <w:r>
        <w:rPr>
          <w:rFonts w:hint="eastAsia" w:ascii="Times New Roman" w:hAnsi="Times New Roman" w:cs="仿宋"/>
          <w:sz w:val="21"/>
          <w:szCs w:val="28"/>
          <w:highlight w:val="none"/>
        </w:rPr>
        <w:t>有关文件、资料进行了收集。这些资料包括：国家、行业有关</w:t>
      </w:r>
      <w:r>
        <w:rPr>
          <w:rFonts w:hint="eastAsia" w:ascii="Times New Roman" w:hAnsi="Times New Roman" w:cs="仿宋"/>
          <w:sz w:val="21"/>
          <w:szCs w:val="28"/>
          <w:highlight w:val="none"/>
          <w:lang w:eastAsia="zh-CN"/>
        </w:rPr>
        <w:t>农资仓库、配送中心建设等</w:t>
      </w:r>
      <w:r>
        <w:rPr>
          <w:rFonts w:hint="eastAsia" w:ascii="Times New Roman" w:hAnsi="Times New Roman" w:cs="仿宋"/>
          <w:sz w:val="21"/>
          <w:szCs w:val="28"/>
          <w:highlight w:val="none"/>
        </w:rPr>
        <w:t>的政策文件、国家及行业标准等20余项，国内外农业社会化服务研究的相关成果，国内农资企业在</w:t>
      </w:r>
      <w:r>
        <w:rPr>
          <w:rFonts w:hint="eastAsia" w:ascii="Times New Roman" w:hAnsi="Times New Roman" w:cs="仿宋"/>
          <w:sz w:val="21"/>
          <w:szCs w:val="28"/>
          <w:highlight w:val="none"/>
          <w:lang w:eastAsia="zh-CN"/>
        </w:rPr>
        <w:t>农资（储备）库建设</w:t>
      </w:r>
      <w:r>
        <w:rPr>
          <w:rFonts w:hint="eastAsia" w:ascii="Times New Roman" w:hAnsi="Times New Roman" w:cs="仿宋"/>
          <w:sz w:val="21"/>
          <w:szCs w:val="28"/>
          <w:highlight w:val="none"/>
        </w:rPr>
        <w:t>方面的工作开展情况等；同时对上述要求、规定和理论进行了系统分析和研究。</w:t>
      </w:r>
    </w:p>
    <w:p w14:paraId="7C21648B">
      <w:pPr>
        <w:ind w:firstLine="482"/>
        <w:rPr>
          <w:rFonts w:ascii="Times New Roman" w:hAnsi="Times New Roman"/>
          <w:b/>
          <w:bCs/>
          <w:sz w:val="21"/>
        </w:rPr>
      </w:pPr>
      <w:r>
        <w:rPr>
          <w:rFonts w:hint="eastAsia" w:ascii="Times New Roman" w:hAnsi="Times New Roman"/>
          <w:b/>
          <w:bCs/>
          <w:sz w:val="21"/>
        </w:rPr>
        <w:t>（</w:t>
      </w:r>
      <w:r>
        <w:rPr>
          <w:rFonts w:hint="eastAsia" w:ascii="Times New Roman" w:hAnsi="Times New Roman"/>
          <w:b/>
          <w:bCs/>
          <w:sz w:val="21"/>
          <w:lang w:eastAsia="zh-CN"/>
        </w:rPr>
        <w:t>三</w:t>
      </w:r>
      <w:r>
        <w:rPr>
          <w:rFonts w:hint="eastAsia" w:ascii="Times New Roman" w:hAnsi="Times New Roman"/>
          <w:b/>
          <w:bCs/>
          <w:sz w:val="21"/>
        </w:rPr>
        <w:t>）</w:t>
      </w:r>
      <w:r>
        <w:rPr>
          <w:rFonts w:hint="eastAsia" w:ascii="Times New Roman" w:hAnsi="Times New Roman"/>
          <w:b/>
          <w:bCs/>
          <w:sz w:val="21"/>
          <w:lang w:eastAsia="zh-CN"/>
        </w:rPr>
        <w:t>定向邀请联合</w:t>
      </w:r>
      <w:r>
        <w:rPr>
          <w:rFonts w:hint="eastAsia" w:ascii="Times New Roman" w:hAnsi="Times New Roman"/>
          <w:b/>
          <w:bCs/>
          <w:sz w:val="21"/>
        </w:rPr>
        <w:t>参编单位</w:t>
      </w:r>
    </w:p>
    <w:p w14:paraId="1A1AFF0D">
      <w:pPr>
        <w:rPr>
          <w:rFonts w:hint="eastAsia" w:ascii="Times New Roman" w:hAnsi="Times New Roman"/>
          <w:sz w:val="21"/>
          <w:lang w:bidi="ar"/>
        </w:rPr>
      </w:pPr>
      <w:r>
        <w:rPr>
          <w:rFonts w:hint="eastAsia" w:ascii="Times New Roman" w:hAnsi="Times New Roman" w:cs="仿宋"/>
          <w:sz w:val="21"/>
          <w:szCs w:val="28"/>
          <w:highlight w:val="none"/>
          <w:lang w:bidi="ar"/>
        </w:rPr>
        <w:t>202</w:t>
      </w:r>
      <w:r>
        <w:rPr>
          <w:rFonts w:hint="eastAsia" w:ascii="Times New Roman" w:hAnsi="Times New Roman" w:cs="仿宋"/>
          <w:sz w:val="21"/>
          <w:szCs w:val="28"/>
          <w:highlight w:val="none"/>
          <w:lang w:val="en-US" w:eastAsia="zh-CN" w:bidi="ar"/>
        </w:rPr>
        <w:t>5</w:t>
      </w:r>
      <w:r>
        <w:rPr>
          <w:rFonts w:hint="eastAsia" w:ascii="Times New Roman" w:hAnsi="Times New Roman" w:cs="仿宋"/>
          <w:sz w:val="21"/>
          <w:szCs w:val="28"/>
          <w:highlight w:val="none"/>
          <w:lang w:bidi="ar"/>
        </w:rPr>
        <w:t>年</w:t>
      </w:r>
      <w:r>
        <w:rPr>
          <w:rFonts w:hint="eastAsia" w:ascii="Times New Roman" w:hAnsi="Times New Roman" w:cs="仿宋"/>
          <w:sz w:val="21"/>
          <w:szCs w:val="28"/>
          <w:highlight w:val="none"/>
          <w:lang w:val="en-US" w:eastAsia="zh-CN" w:bidi="ar"/>
        </w:rPr>
        <w:t>11</w:t>
      </w:r>
      <w:r>
        <w:rPr>
          <w:rFonts w:hint="eastAsia" w:ascii="Times New Roman" w:hAnsi="Times New Roman" w:cs="仿宋"/>
          <w:sz w:val="21"/>
          <w:szCs w:val="28"/>
          <w:highlight w:val="none"/>
          <w:lang w:bidi="ar"/>
        </w:rPr>
        <w:t>月，为了确保标准编制的科学性、先进性、适用性和可操作性，</w:t>
      </w:r>
      <w:r>
        <w:rPr>
          <w:rFonts w:hint="eastAsia" w:cs="仿宋"/>
          <w:sz w:val="21"/>
          <w:szCs w:val="28"/>
          <w:highlight w:val="none"/>
          <w:lang w:eastAsia="zh-CN" w:bidi="ar"/>
        </w:rPr>
        <w:t>中国农业生产资料流通协会</w:t>
      </w:r>
      <w:r>
        <w:rPr>
          <w:rFonts w:hint="eastAsia" w:ascii="Times New Roman" w:hAnsi="Times New Roman" w:cs="仿宋"/>
          <w:sz w:val="21"/>
          <w:szCs w:val="28"/>
          <w:highlight w:val="none"/>
          <w:lang w:eastAsia="zh-CN" w:bidi="ar"/>
        </w:rPr>
        <w:t>（以下简称协会）定向</w:t>
      </w:r>
      <w:r>
        <w:rPr>
          <w:rFonts w:hint="eastAsia" w:ascii="Times New Roman" w:hAnsi="Times New Roman" w:cs="仿宋"/>
          <w:sz w:val="21"/>
          <w:szCs w:val="28"/>
          <w:highlight w:val="none"/>
          <w:lang w:bidi="ar"/>
        </w:rPr>
        <w:t>邀请农资（储备）库建设的龙头企业中国农业生产资料集团有限公司、安徽辉隆农资集团股份有限公司、浙农集团股份有限公司、黑龙江倍丰农业生产资料集团有限公司、广东天禾农资股份有限公司5家企业成为参编单位。这些企业多为大中型农资企业，其经营活动面向全国或较大的经济区域，在国内多个省区有建设、运营、管理大中型农资仓储设施的经验，其产品经营范围涵盖了化肥、农药等主要农资产品。</w:t>
      </w:r>
    </w:p>
    <w:p w14:paraId="1A42FFAB">
      <w:pPr>
        <w:ind w:firstLine="482"/>
        <w:rPr>
          <w:rFonts w:hint="eastAsia" w:ascii="Times New Roman" w:hAnsi="Times New Roman" w:eastAsia="宋体"/>
          <w:b/>
          <w:bCs/>
          <w:sz w:val="21"/>
          <w:lang w:eastAsia="zh-CN"/>
        </w:rPr>
      </w:pPr>
      <w:r>
        <w:rPr>
          <w:rFonts w:hint="eastAsia" w:ascii="Times New Roman" w:hAnsi="Times New Roman"/>
          <w:b/>
          <w:bCs/>
          <w:sz w:val="21"/>
        </w:rPr>
        <w:t>（</w:t>
      </w:r>
      <w:r>
        <w:rPr>
          <w:rFonts w:hint="eastAsia" w:ascii="Times New Roman" w:hAnsi="Times New Roman"/>
          <w:b/>
          <w:bCs/>
          <w:sz w:val="21"/>
          <w:lang w:eastAsia="zh-CN"/>
        </w:rPr>
        <w:t>四</w:t>
      </w:r>
      <w:r>
        <w:rPr>
          <w:rFonts w:hint="eastAsia" w:ascii="Times New Roman" w:hAnsi="Times New Roman"/>
          <w:b/>
          <w:bCs/>
          <w:sz w:val="21"/>
        </w:rPr>
        <w:t>）</w:t>
      </w:r>
      <w:r>
        <w:rPr>
          <w:rFonts w:hint="eastAsia" w:ascii="Times New Roman" w:hAnsi="Times New Roman"/>
          <w:b/>
          <w:bCs/>
          <w:sz w:val="21"/>
          <w:lang w:eastAsia="zh-CN"/>
        </w:rPr>
        <w:t>起草并形成标准征求意见稿</w:t>
      </w:r>
    </w:p>
    <w:p w14:paraId="7E27AC94">
      <w:pPr>
        <w:rPr>
          <w:rFonts w:ascii="Times New Roman" w:hAnsi="Times New Roman"/>
          <w:sz w:val="21"/>
          <w:lang w:bidi="ar"/>
        </w:rPr>
      </w:pPr>
      <w:r>
        <w:rPr>
          <w:rFonts w:hint="eastAsia" w:ascii="Times New Roman" w:hAnsi="Times New Roman"/>
          <w:sz w:val="21"/>
          <w:lang w:eastAsia="zh-CN" w:bidi="ar"/>
        </w:rPr>
        <w:t>在前期资料搜集的基础上，协会起草了标准编制草案，并请联合编制单位参编人员提出修改意见。经过意见汇总、研讨后，对标准编制草案进行了修改完善，于</w:t>
      </w:r>
      <w:r>
        <w:rPr>
          <w:rFonts w:hint="eastAsia" w:ascii="Times New Roman" w:hAnsi="Times New Roman"/>
          <w:sz w:val="21"/>
          <w:lang w:val="en-US" w:eastAsia="zh-CN" w:bidi="ar"/>
        </w:rPr>
        <w:t>2026年4月</w:t>
      </w:r>
      <w:r>
        <w:rPr>
          <w:rFonts w:hint="eastAsia" w:ascii="Times New Roman" w:hAnsi="Times New Roman"/>
          <w:sz w:val="21"/>
          <w:lang w:eastAsia="zh-CN" w:bidi="ar"/>
        </w:rPr>
        <w:t>形成了标准编制征求意见稿。</w:t>
      </w:r>
    </w:p>
    <w:p w14:paraId="2F508927">
      <w:pPr>
        <w:ind w:firstLine="482"/>
        <w:rPr>
          <w:rFonts w:ascii="Times New Roman" w:hAnsi="Times New Roman"/>
          <w:b/>
          <w:bCs/>
          <w:sz w:val="21"/>
        </w:rPr>
      </w:pPr>
      <w:r>
        <w:rPr>
          <w:rFonts w:hint="eastAsia" w:ascii="Times New Roman" w:hAnsi="Times New Roman"/>
          <w:b/>
          <w:bCs/>
          <w:sz w:val="21"/>
        </w:rPr>
        <w:t>四、标准制定依据和原则</w:t>
      </w:r>
    </w:p>
    <w:p w14:paraId="173AAAC6">
      <w:pPr>
        <w:ind w:firstLine="482"/>
        <w:rPr>
          <w:rFonts w:ascii="Times New Roman" w:hAnsi="Times New Roman"/>
          <w:b/>
          <w:bCs/>
          <w:sz w:val="21"/>
        </w:rPr>
      </w:pPr>
      <w:r>
        <w:rPr>
          <w:rFonts w:hint="eastAsia" w:ascii="Times New Roman" w:hAnsi="Times New Roman"/>
          <w:b/>
          <w:bCs/>
          <w:sz w:val="21"/>
        </w:rPr>
        <w:t>（一）标准制定依据</w:t>
      </w:r>
    </w:p>
    <w:p w14:paraId="335EB7B1">
      <w:pPr>
        <w:rPr>
          <w:rFonts w:hint="eastAsia" w:ascii="Times New Roman" w:hAnsi="Times New Roman" w:eastAsia="宋体"/>
          <w:sz w:val="21"/>
          <w:lang w:eastAsia="zh-CN"/>
        </w:rPr>
      </w:pPr>
      <w:r>
        <w:rPr>
          <w:rFonts w:hint="eastAsia" w:ascii="Times New Roman" w:hAnsi="Times New Roman"/>
          <w:sz w:val="21"/>
          <w:lang w:eastAsia="zh-CN"/>
        </w:rPr>
        <w:t>1.</w:t>
      </w:r>
      <w:r>
        <w:rPr>
          <w:rFonts w:hint="eastAsia" w:ascii="Times New Roman" w:hAnsi="Times New Roman"/>
          <w:sz w:val="21"/>
        </w:rPr>
        <w:t>国家、行业、地方及</w:t>
      </w:r>
      <w:r>
        <w:rPr>
          <w:rFonts w:hint="eastAsia" w:ascii="Times New Roman" w:hAnsi="Times New Roman"/>
          <w:sz w:val="21"/>
          <w:lang w:eastAsia="zh-CN"/>
        </w:rPr>
        <w:t>供销合作行业标准</w:t>
      </w:r>
    </w:p>
    <w:p w14:paraId="3FB74BB3">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建标  172—2016  粮食仓库建设标准</w:t>
      </w:r>
    </w:p>
    <w:p w14:paraId="4F635BA6">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GH/T 1079  农业生产资料连锁经营网络配送中心建设与管理规范</w:t>
      </w:r>
    </w:p>
    <w:p w14:paraId="1BB84BA1">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GH/T  1122  庄稼医院建设与管理规范</w:t>
      </w:r>
    </w:p>
    <w:p w14:paraId="39D80F1C">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GH/T  1225  农资质量追溯体系建设规范</w:t>
      </w:r>
    </w:p>
    <w:p w14:paraId="44D86DF0">
      <w:pPr>
        <w:rPr>
          <w:rFonts w:hint="eastAsia" w:ascii="Times New Roman" w:hAnsi="Times New Roman" w:cs="Times New Roman"/>
          <w:sz w:val="21"/>
          <w:lang w:val="en-US" w:eastAsia="zh-CN" w:bidi="ar"/>
        </w:rPr>
      </w:pPr>
    </w:p>
    <w:p w14:paraId="4CEBD697">
      <w:pPr>
        <w:rPr>
          <w:rFonts w:hint="eastAsia" w:ascii="Times New Roman" w:hAnsi="Times New Roman" w:cs="Times New Roman"/>
          <w:sz w:val="21"/>
          <w:lang w:bidi="ar"/>
        </w:rPr>
      </w:pPr>
      <w:r>
        <w:rPr>
          <w:rFonts w:hint="eastAsia" w:ascii="Times New Roman" w:hAnsi="Times New Roman" w:cs="Times New Roman"/>
          <w:sz w:val="21"/>
          <w:lang w:bidi="ar"/>
        </w:rPr>
        <w:t>GB 2894  安全标志及其使用导则</w:t>
      </w:r>
    </w:p>
    <w:p w14:paraId="48FAD7BB">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GB  5749  生活饮用水卫生标准</w:t>
      </w:r>
    </w:p>
    <w:p w14:paraId="0E943015">
      <w:pPr>
        <w:rPr>
          <w:rFonts w:hint="eastAsia" w:ascii="Times New Roman" w:hAnsi="Times New Roman" w:cs="Times New Roman"/>
          <w:sz w:val="21"/>
          <w:lang w:bidi="ar"/>
        </w:rPr>
      </w:pPr>
      <w:r>
        <w:rPr>
          <w:rFonts w:hint="eastAsia" w:ascii="Times New Roman" w:hAnsi="Times New Roman" w:cs="Times New Roman"/>
          <w:sz w:val="21"/>
          <w:lang w:bidi="ar"/>
        </w:rPr>
        <w:t>GB 15603  危险化学品仓库储存通则</w:t>
      </w:r>
    </w:p>
    <w:p w14:paraId="66054535">
      <w:pPr>
        <w:rPr>
          <w:rFonts w:hint="eastAsia" w:ascii="Times New Roman" w:hAnsi="Times New Roman" w:cs="Times New Roman"/>
          <w:sz w:val="21"/>
          <w:lang w:bidi="ar"/>
        </w:rPr>
      </w:pPr>
      <w:r>
        <w:rPr>
          <w:rFonts w:hint="eastAsia" w:ascii="Times New Roman" w:hAnsi="Times New Roman" w:cs="Times New Roman"/>
          <w:sz w:val="21"/>
          <w:lang w:bidi="ar"/>
        </w:rPr>
        <w:t>GB/T 28581  通用仓库及库区规划设计参数</w:t>
      </w:r>
    </w:p>
    <w:p w14:paraId="733CE934">
      <w:pPr>
        <w:rPr>
          <w:rFonts w:hint="eastAsia" w:ascii="Times New Roman" w:hAnsi="Times New Roman" w:cs="Times New Roman"/>
          <w:sz w:val="21"/>
          <w:lang w:bidi="ar"/>
        </w:rPr>
      </w:pPr>
      <w:r>
        <w:rPr>
          <w:rFonts w:hint="eastAsia" w:ascii="Times New Roman" w:hAnsi="Times New Roman" w:cs="Times New Roman"/>
          <w:sz w:val="21"/>
          <w:lang w:bidi="ar"/>
        </w:rPr>
        <w:t>GB/T 37070-2018  农业生产资料供应服务 农资仓储服务规范</w:t>
      </w:r>
    </w:p>
    <w:p w14:paraId="53FEDC62">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GB/T 43420-2023  农业生产资料供应服务 农资供应商评价规范</w:t>
      </w:r>
    </w:p>
    <w:p w14:paraId="02CB5FC3">
      <w:pPr>
        <w:rPr>
          <w:rFonts w:hint="eastAsia" w:ascii="Times New Roman" w:hAnsi="Times New Roman" w:cs="Times New Roman"/>
          <w:sz w:val="21"/>
          <w:lang w:bidi="ar"/>
        </w:rPr>
      </w:pPr>
      <w:r>
        <w:rPr>
          <w:rFonts w:hint="eastAsia" w:ascii="Times New Roman" w:hAnsi="Times New Roman" w:cs="Times New Roman"/>
          <w:sz w:val="21"/>
          <w:lang w:bidi="ar"/>
        </w:rPr>
        <w:t>GB 50016  建筑设计防火规范</w:t>
      </w:r>
    </w:p>
    <w:p w14:paraId="4F2576A8">
      <w:pPr>
        <w:rPr>
          <w:rFonts w:hint="eastAsia" w:ascii="Times New Roman" w:hAnsi="Times New Roman" w:cs="Times New Roman"/>
          <w:sz w:val="21"/>
          <w:lang w:bidi="ar"/>
        </w:rPr>
      </w:pPr>
      <w:r>
        <w:rPr>
          <w:rFonts w:hint="eastAsia" w:ascii="Times New Roman" w:hAnsi="Times New Roman" w:cs="Times New Roman"/>
          <w:sz w:val="21"/>
          <w:lang w:bidi="ar"/>
        </w:rPr>
        <w:t>GB 50187-2012  工业企业总平面设计规范</w:t>
      </w:r>
    </w:p>
    <w:p w14:paraId="6B45FB6C">
      <w:pPr>
        <w:rPr>
          <w:rFonts w:hint="eastAsia" w:ascii="Times New Roman" w:hAnsi="Times New Roman" w:cs="Times New Roman"/>
          <w:sz w:val="21"/>
          <w:lang w:bidi="ar"/>
        </w:rPr>
      </w:pPr>
      <w:r>
        <w:rPr>
          <w:rFonts w:hint="eastAsia" w:ascii="Times New Roman" w:hAnsi="Times New Roman" w:cs="Times New Roman"/>
          <w:sz w:val="21"/>
          <w:lang w:bidi="ar"/>
        </w:rPr>
        <w:t>GB 51157  物流建筑设计规范</w:t>
      </w:r>
    </w:p>
    <w:p w14:paraId="76CB60C2">
      <w:pPr>
        <w:rPr>
          <w:rFonts w:hint="eastAsia" w:ascii="Times New Roman" w:hAnsi="Times New Roman" w:cs="Times New Roman"/>
          <w:sz w:val="21"/>
          <w:lang w:bidi="ar"/>
        </w:rPr>
      </w:pPr>
      <w:r>
        <w:rPr>
          <w:rFonts w:hint="eastAsia" w:ascii="Times New Roman" w:hAnsi="Times New Roman" w:cs="Times New Roman"/>
          <w:sz w:val="21"/>
          <w:lang w:bidi="ar"/>
        </w:rPr>
        <w:t>GB 55031  民用建筑通用规范</w:t>
      </w:r>
    </w:p>
    <w:p w14:paraId="0A9B3202">
      <w:pPr>
        <w:rPr>
          <w:rFonts w:hint="eastAsia" w:ascii="Times New Roman" w:hAnsi="Times New Roman" w:cs="Times New Roman"/>
          <w:sz w:val="21"/>
          <w:lang w:bidi="ar"/>
        </w:rPr>
      </w:pPr>
      <w:r>
        <w:rPr>
          <w:rFonts w:hint="eastAsia" w:ascii="Times New Roman" w:hAnsi="Times New Roman" w:cs="Times New Roman"/>
          <w:sz w:val="21"/>
          <w:lang w:bidi="ar"/>
        </w:rPr>
        <w:t>GB 55037  建筑防火通用规范</w:t>
      </w:r>
    </w:p>
    <w:p w14:paraId="31EB6B11">
      <w:pPr>
        <w:rPr>
          <w:rFonts w:hint="eastAsia" w:ascii="Times New Roman" w:hAnsi="Times New Roman" w:cs="Times New Roman"/>
          <w:sz w:val="21"/>
          <w:szCs w:val="24"/>
          <w:lang w:val="en-US" w:eastAsia="zh-CN" w:bidi="ar"/>
        </w:rPr>
      </w:pPr>
      <w:r>
        <w:rPr>
          <w:rFonts w:hint="eastAsia" w:ascii="Times New Roman" w:hAnsi="Times New Roman" w:cs="Times New Roman"/>
          <w:sz w:val="21"/>
          <w:lang w:bidi="ar"/>
        </w:rPr>
        <w:t>SB/T 11164  绿色仓库要求与评价</w:t>
      </w:r>
      <w:r>
        <w:rPr>
          <w:rFonts w:hint="eastAsia" w:ascii="Times New Roman" w:hAnsi="Times New Roman" w:cs="Times New Roman"/>
          <w:sz w:val="21"/>
          <w:szCs w:val="24"/>
          <w:lang w:val="en-US" w:eastAsia="zh-CN" w:bidi="ar"/>
        </w:rPr>
        <w:t xml:space="preserve">  </w:t>
      </w:r>
    </w:p>
    <w:p w14:paraId="2216944F">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T/CAMPA004-2024  《国家战略性农资（储备）库建设与管理规范》</w:t>
      </w:r>
    </w:p>
    <w:p w14:paraId="5C11EFED">
      <w:pPr>
        <w:rPr>
          <w:rFonts w:ascii="Times New Roman" w:hAnsi="Times New Roman"/>
          <w:sz w:val="21"/>
        </w:rPr>
      </w:pPr>
      <w:r>
        <w:rPr>
          <w:rFonts w:hint="eastAsia" w:ascii="Times New Roman" w:hAnsi="Times New Roman"/>
          <w:sz w:val="21"/>
          <w:lang w:eastAsia="zh-CN"/>
        </w:rPr>
        <w:t>2.法律法规</w:t>
      </w:r>
      <w:r>
        <w:rPr>
          <w:rFonts w:hint="eastAsia" w:ascii="Times New Roman" w:hAnsi="Times New Roman"/>
          <w:sz w:val="21"/>
        </w:rPr>
        <w:t>及文件</w:t>
      </w:r>
    </w:p>
    <w:p w14:paraId="2EEBFE06">
      <w:pPr>
        <w:rPr>
          <w:rFonts w:hint="eastAsia" w:ascii="Times New Roman" w:hAnsi="Times New Roman" w:cs="Times New Roman"/>
          <w:sz w:val="21"/>
          <w:lang w:bidi="ar"/>
        </w:rPr>
      </w:pPr>
      <w:r>
        <w:rPr>
          <w:rFonts w:hint="eastAsia" w:ascii="Times New Roman" w:hAnsi="Times New Roman" w:cs="Times New Roman"/>
          <w:sz w:val="21"/>
          <w:lang w:bidi="ar"/>
        </w:rPr>
        <w:t>仓库防火安全管理规则（公安部〔1990〕第6号令）</w:t>
      </w:r>
    </w:p>
    <w:p w14:paraId="55090736">
      <w:pPr>
        <w:rPr>
          <w:rFonts w:hint="eastAsia" w:ascii="Times New Roman" w:hAnsi="Times New Roman" w:cs="Times New Roman"/>
          <w:sz w:val="21"/>
          <w:lang w:bidi="ar"/>
        </w:rPr>
      </w:pPr>
      <w:r>
        <w:rPr>
          <w:rFonts w:hint="eastAsia" w:ascii="Times New Roman" w:hAnsi="Times New Roman" w:cs="Times New Roman"/>
          <w:sz w:val="21"/>
          <w:lang w:bidi="ar"/>
        </w:rPr>
        <w:t>建设工程消防监督管理规定（公安部〔2009〕第106号令）</w:t>
      </w:r>
    </w:p>
    <w:p w14:paraId="20531668">
      <w:pPr>
        <w:rPr>
          <w:rFonts w:hint="eastAsia" w:ascii="Times New Roman" w:hAnsi="Times New Roman" w:cs="Times New Roman"/>
          <w:sz w:val="21"/>
          <w:lang w:val="en-US" w:eastAsia="zh-CN" w:bidi="ar"/>
        </w:rPr>
      </w:pPr>
      <w:r>
        <w:rPr>
          <w:rFonts w:hint="eastAsia" w:ascii="Times New Roman" w:hAnsi="Times New Roman" w:cs="Times New Roman"/>
          <w:sz w:val="21"/>
          <w:lang w:val="en-US" w:eastAsia="zh-CN" w:bidi="ar"/>
        </w:rPr>
        <w:t>《中华人民共和国安全生产法》</w:t>
      </w:r>
    </w:p>
    <w:p w14:paraId="0E3EC2F4">
      <w:pPr>
        <w:rPr>
          <w:rFonts w:hint="eastAsia" w:ascii="Times New Roman" w:hAnsi="Times New Roman" w:cs="Times New Roman"/>
          <w:sz w:val="21"/>
          <w:lang w:bidi="ar"/>
        </w:rPr>
      </w:pPr>
      <w:r>
        <w:rPr>
          <w:rFonts w:hint="eastAsia" w:ascii="Times New Roman" w:hAnsi="Times New Roman" w:cs="Times New Roman"/>
          <w:sz w:val="21"/>
          <w:lang w:val="en-US" w:eastAsia="zh-CN" w:bidi="ar"/>
        </w:rPr>
        <w:t>《中华人民共和国特种设备安全法》</w:t>
      </w:r>
    </w:p>
    <w:p w14:paraId="4F49ACE0">
      <w:pPr>
        <w:rPr>
          <w:rFonts w:hint="eastAsia" w:ascii="Times New Roman" w:hAnsi="Times New Roman" w:cs="Times New Roman"/>
          <w:sz w:val="21"/>
          <w:lang w:bidi="ar"/>
        </w:rPr>
      </w:pPr>
      <w:r>
        <w:rPr>
          <w:rFonts w:hint="eastAsia" w:ascii="Times New Roman" w:hAnsi="Times New Roman" w:cs="Times New Roman"/>
          <w:sz w:val="21"/>
          <w:lang w:bidi="ar"/>
        </w:rPr>
        <w:t>《关于修订印发&lt;国家化肥商业储备管理办法&gt;的通知》（发改经贸规〔2022〕1320号）</w:t>
      </w:r>
    </w:p>
    <w:p w14:paraId="489F2B4A">
      <w:pPr>
        <w:rPr>
          <w:rFonts w:hint="eastAsia" w:ascii="Times New Roman" w:hAnsi="Times New Roman" w:cs="Times New Roman"/>
          <w:sz w:val="21"/>
          <w:lang w:bidi="ar"/>
        </w:rPr>
      </w:pPr>
      <w:r>
        <w:rPr>
          <w:rFonts w:hint="eastAsia" w:ascii="Times New Roman" w:hAnsi="Times New Roman" w:cs="Times New Roman"/>
          <w:sz w:val="21"/>
          <w:lang w:bidi="ar"/>
        </w:rPr>
        <w:t>《农业农村部、国家发展改革委、财政部、供销合作总社关于印发&lt;国家救灾农药储备管理办法&gt;的通知》（农发〔2023〕5号）</w:t>
      </w:r>
    </w:p>
    <w:p w14:paraId="6CC1BF0C">
      <w:pPr>
        <w:rPr>
          <w:rFonts w:hint="eastAsia" w:ascii="Times New Roman" w:hAnsi="Times New Roman" w:cs="Times New Roman"/>
          <w:sz w:val="21"/>
          <w:lang w:bidi="ar"/>
        </w:rPr>
      </w:pPr>
      <w:r>
        <w:rPr>
          <w:rFonts w:hint="eastAsia" w:ascii="Times New Roman" w:hAnsi="Times New Roman" w:cs="Times New Roman"/>
          <w:sz w:val="21"/>
          <w:lang w:bidi="ar"/>
        </w:rPr>
        <w:t>《中华全国供销合作总社关于印发&lt;全国供销合作社农资网络体系建设专项规划（2024—2028年）&gt;的通知》（供销农棉〔2024〕3号）</w:t>
      </w:r>
    </w:p>
    <w:p w14:paraId="49952CC6">
      <w:pPr>
        <w:rPr>
          <w:rFonts w:hint="eastAsia" w:ascii="Times New Roman" w:hAnsi="Times New Roman" w:cs="Times New Roman"/>
          <w:sz w:val="21"/>
          <w:lang w:bidi="ar"/>
        </w:rPr>
      </w:pPr>
      <w:r>
        <w:rPr>
          <w:rFonts w:hint="eastAsia" w:ascii="Times New Roman" w:hAnsi="Times New Roman" w:cs="Times New Roman"/>
          <w:sz w:val="21"/>
          <w:lang w:bidi="ar"/>
        </w:rPr>
        <w:t>《</w:t>
      </w:r>
      <w:r>
        <w:rPr>
          <w:rFonts w:hint="eastAsia" w:ascii="Times New Roman" w:hAnsi="Times New Roman" w:eastAsia="宋体" w:cs="Times New Roman"/>
          <w:i w:val="0"/>
          <w:iCs w:val="0"/>
          <w:caps w:val="0"/>
          <w:spacing w:val="0"/>
          <w:sz w:val="21"/>
          <w:szCs w:val="24"/>
          <w:shd w:val="clear"/>
          <w:lang w:bidi="ar"/>
        </w:rPr>
        <w:t>中共中央 国务院关于锚定农业农村现代化 扎实推进乡村全面振兴的意见</w:t>
      </w:r>
      <w:r>
        <w:rPr>
          <w:rFonts w:hint="eastAsia" w:ascii="Times New Roman" w:hAnsi="Times New Roman" w:cs="Times New Roman"/>
          <w:sz w:val="21"/>
          <w:lang w:bidi="ar"/>
        </w:rPr>
        <w:t>》（202</w:t>
      </w:r>
      <w:r>
        <w:rPr>
          <w:rFonts w:hint="eastAsia" w:ascii="Times New Roman" w:hAnsi="Times New Roman" w:cs="Times New Roman"/>
          <w:sz w:val="21"/>
          <w:lang w:val="en-US" w:eastAsia="zh-CN" w:bidi="ar"/>
        </w:rPr>
        <w:t>6</w:t>
      </w:r>
      <w:r>
        <w:rPr>
          <w:rFonts w:hint="eastAsia" w:ascii="Times New Roman" w:hAnsi="Times New Roman" w:cs="Times New Roman"/>
          <w:sz w:val="21"/>
          <w:lang w:bidi="ar"/>
        </w:rPr>
        <w:t>年中央一号文件）</w:t>
      </w:r>
    </w:p>
    <w:p w14:paraId="5697D050">
      <w:pPr>
        <w:pStyle w:val="27"/>
        <w:numPr>
          <w:ilvl w:val="0"/>
          <w:numId w:val="10"/>
        </w:numPr>
        <w:ind w:firstLineChars="0"/>
        <w:rPr>
          <w:rFonts w:ascii="Times New Roman" w:hAnsi="Times New Roman"/>
          <w:b/>
          <w:bCs/>
          <w:sz w:val="21"/>
        </w:rPr>
      </w:pPr>
      <w:r>
        <w:rPr>
          <w:rFonts w:hint="eastAsia" w:ascii="Times New Roman" w:hAnsi="Times New Roman"/>
          <w:b/>
          <w:bCs/>
          <w:sz w:val="21"/>
        </w:rPr>
        <w:t>标准制定原则</w:t>
      </w:r>
    </w:p>
    <w:p w14:paraId="38411C16">
      <w:pPr>
        <w:rPr>
          <w:rFonts w:ascii="Times New Roman" w:hAnsi="Times New Roman"/>
          <w:sz w:val="21"/>
          <w:lang w:bidi="ar"/>
        </w:rPr>
      </w:pPr>
      <w:r>
        <w:rPr>
          <w:rFonts w:hint="eastAsia" w:ascii="Times New Roman" w:hAnsi="Times New Roman"/>
          <w:sz w:val="21"/>
          <w:lang w:bidi="ar"/>
        </w:rPr>
        <w:t>本标准规定了农资（储备）库建设和管理的总体原则，适用于农资（储备）库的建设与管理，帮助实现农资（储备）库建设与管理的标准化、规范化，</w:t>
      </w:r>
      <w:r>
        <w:rPr>
          <w:rFonts w:hint="eastAsia" w:ascii="Times New Roman" w:hAnsi="Times New Roman"/>
          <w:sz w:val="21"/>
          <w:lang w:val="en-US" w:eastAsia="zh-CN" w:bidi="ar"/>
        </w:rPr>
        <w:t>达到</w:t>
      </w:r>
      <w:r>
        <w:rPr>
          <w:rFonts w:hint="eastAsia" w:ascii="Times New Roman" w:hAnsi="Times New Roman"/>
          <w:sz w:val="21"/>
          <w:lang w:bidi="ar"/>
        </w:rPr>
        <w:t>降本增效。</w:t>
      </w:r>
    </w:p>
    <w:p w14:paraId="4C471F3C">
      <w:pPr>
        <w:rPr>
          <w:rFonts w:hint="eastAsia" w:ascii="Times New Roman" w:hAnsi="Times New Roman"/>
          <w:sz w:val="21"/>
        </w:rPr>
      </w:pPr>
      <w:bookmarkStart w:id="0" w:name="_Toc161220212"/>
      <w:bookmarkStart w:id="1" w:name="_Toc161388478"/>
      <w:r>
        <w:rPr>
          <w:rFonts w:hint="eastAsia" w:ascii="Times New Roman" w:hAnsi="Times New Roman"/>
          <w:sz w:val="21"/>
        </w:rPr>
        <w:t>1. 储备保障原则</w:t>
      </w:r>
    </w:p>
    <w:p w14:paraId="2CF69A8F">
      <w:pPr>
        <w:rPr>
          <w:rFonts w:hint="eastAsia" w:ascii="Times New Roman" w:hAnsi="Times New Roman"/>
          <w:sz w:val="21"/>
        </w:rPr>
      </w:pPr>
      <w:r>
        <w:rPr>
          <w:rFonts w:hint="eastAsia" w:ascii="Times New Roman" w:hAnsi="Times New Roman"/>
          <w:sz w:val="21"/>
        </w:rPr>
        <w:t>以满足肥料等重要农资储备需求为核心导向，确保标准规定的各项建设与管理要求能够有效支撑国家及地方农资储备能力的提升，切实服务于农资保供稳价和粮食安全大局。</w:t>
      </w:r>
    </w:p>
    <w:p w14:paraId="416979B7">
      <w:pPr>
        <w:rPr>
          <w:rFonts w:hint="eastAsia" w:ascii="Times New Roman" w:hAnsi="Times New Roman"/>
          <w:sz w:val="21"/>
        </w:rPr>
      </w:pPr>
      <w:r>
        <w:rPr>
          <w:rFonts w:hint="eastAsia" w:ascii="Times New Roman" w:hAnsi="Times New Roman"/>
          <w:sz w:val="21"/>
        </w:rPr>
        <w:t>2. 功能兼容原则</w:t>
      </w:r>
    </w:p>
    <w:p w14:paraId="739DBF68">
      <w:pPr>
        <w:rPr>
          <w:rFonts w:hint="eastAsia" w:ascii="Times New Roman" w:hAnsi="Times New Roman"/>
          <w:sz w:val="21"/>
        </w:rPr>
      </w:pPr>
      <w:r>
        <w:rPr>
          <w:rFonts w:hint="eastAsia" w:ascii="Times New Roman" w:hAnsi="Times New Roman"/>
          <w:sz w:val="21"/>
        </w:rPr>
        <w:t>在优先满足政策性农资储备需求的基础上，兼顾其他商业性农资存放需要，使标准具备良好的适用性与灵活性，既保障应急调控功能，又提升仓储设施的综合利用率与运营可持续性。</w:t>
      </w:r>
    </w:p>
    <w:p w14:paraId="3B82EABA">
      <w:pPr>
        <w:rPr>
          <w:rFonts w:hint="eastAsia" w:ascii="Times New Roman" w:hAnsi="Times New Roman"/>
          <w:sz w:val="21"/>
        </w:rPr>
      </w:pPr>
      <w:r>
        <w:rPr>
          <w:rFonts w:hint="eastAsia" w:ascii="Times New Roman" w:hAnsi="Times New Roman"/>
          <w:sz w:val="21"/>
        </w:rPr>
        <w:t>3. 创新绿色原则</w:t>
      </w:r>
    </w:p>
    <w:p w14:paraId="37B2B632">
      <w:pPr>
        <w:rPr>
          <w:rFonts w:hint="eastAsia" w:ascii="Times New Roman" w:hAnsi="Times New Roman"/>
          <w:sz w:val="21"/>
        </w:rPr>
      </w:pPr>
      <w:r>
        <w:rPr>
          <w:rFonts w:hint="eastAsia" w:ascii="Times New Roman" w:hAnsi="Times New Roman"/>
          <w:sz w:val="21"/>
        </w:rPr>
        <w:t>顺应国家农业现代化发展趋势，推动现代信息技术、智能装备与绿色技术在农资仓储领域的集成应用，标准应体现科技赋能、低碳节能、环境友好等要求，促进农资仓储行业高质量发展。</w:t>
      </w:r>
    </w:p>
    <w:bookmarkEnd w:id="0"/>
    <w:bookmarkEnd w:id="1"/>
    <w:p w14:paraId="4FD12DEE">
      <w:pPr>
        <w:ind w:firstLine="482"/>
        <w:rPr>
          <w:rFonts w:ascii="Times New Roman" w:hAnsi="Times New Roman"/>
          <w:b/>
          <w:bCs/>
          <w:sz w:val="21"/>
        </w:rPr>
      </w:pPr>
      <w:r>
        <w:rPr>
          <w:rFonts w:hint="eastAsia" w:ascii="Times New Roman" w:hAnsi="Times New Roman"/>
          <w:b/>
          <w:bCs/>
          <w:sz w:val="21"/>
        </w:rPr>
        <w:t>五、相关技术内容说明</w:t>
      </w:r>
    </w:p>
    <w:p w14:paraId="6C54F4BD">
      <w:pPr>
        <w:pStyle w:val="33"/>
        <w:spacing w:line="360" w:lineRule="auto"/>
        <w:ind w:firstLine="482"/>
        <w:rPr>
          <w:rFonts w:ascii="Times New Roman" w:hAnsi="Times New Roman"/>
          <w:bCs/>
          <w:kern w:val="2"/>
          <w:sz w:val="21"/>
          <w:szCs w:val="24"/>
        </w:rPr>
      </w:pPr>
      <w:r>
        <w:rPr>
          <w:rFonts w:hint="eastAsia" w:ascii="Times New Roman"/>
          <w:b/>
          <w:bCs/>
          <w:sz w:val="21"/>
          <w:szCs w:val="24"/>
          <w:lang w:eastAsia="zh-CN"/>
        </w:rPr>
        <w:t>1.</w:t>
      </w:r>
      <w:r>
        <w:rPr>
          <w:rFonts w:hint="eastAsia" w:ascii="Times New Roman" w:hAnsi="Times New Roman"/>
          <w:b/>
          <w:bCs/>
          <w:sz w:val="21"/>
          <w:szCs w:val="24"/>
        </w:rPr>
        <w:t>范围</w:t>
      </w:r>
    </w:p>
    <w:p w14:paraId="494931EC">
      <w:pPr>
        <w:rPr>
          <w:rFonts w:ascii="Times New Roman" w:hAnsi="Times New Roman"/>
          <w:sz w:val="21"/>
          <w:lang w:bidi="ar"/>
        </w:rPr>
      </w:pPr>
      <w:r>
        <w:rPr>
          <w:rFonts w:hint="eastAsia" w:ascii="Times New Roman" w:hAnsi="Times New Roman"/>
          <w:sz w:val="21"/>
          <w:lang w:bidi="ar"/>
        </w:rPr>
        <w:t>本标准确立了</w:t>
      </w:r>
      <w:r>
        <w:rPr>
          <w:rFonts w:hint="eastAsia" w:ascii="Times New Roman" w:hAnsi="Times New Roman"/>
          <w:sz w:val="21"/>
          <w:lang w:eastAsia="zh-CN" w:bidi="ar"/>
        </w:rPr>
        <w:t>农资（储备）库</w:t>
      </w:r>
      <w:r>
        <w:rPr>
          <w:rFonts w:hint="eastAsia" w:ascii="Times New Roman" w:hAnsi="Times New Roman"/>
          <w:sz w:val="21"/>
          <w:lang w:bidi="ar"/>
        </w:rPr>
        <w:t>的总体要求、建设要求、管理要求</w:t>
      </w:r>
      <w:r>
        <w:rPr>
          <w:rFonts w:hint="eastAsia" w:ascii="Times New Roman" w:hAnsi="Times New Roman"/>
          <w:sz w:val="21"/>
          <w:lang w:eastAsia="zh-CN" w:bidi="ar"/>
        </w:rPr>
        <w:t>等</w:t>
      </w:r>
      <w:r>
        <w:rPr>
          <w:rFonts w:hint="eastAsia" w:ascii="Times New Roman" w:hAnsi="Times New Roman"/>
          <w:sz w:val="21"/>
          <w:lang w:bidi="ar"/>
        </w:rPr>
        <w:t>内容。</w:t>
      </w:r>
    </w:p>
    <w:p w14:paraId="30EE765A">
      <w:pPr>
        <w:rPr>
          <w:rFonts w:ascii="Times New Roman" w:hAnsi="Times New Roman"/>
          <w:sz w:val="21"/>
          <w:lang w:bidi="ar"/>
        </w:rPr>
      </w:pPr>
      <w:r>
        <w:rPr>
          <w:rFonts w:hint="eastAsia" w:ascii="Times New Roman" w:hAnsi="Times New Roman"/>
          <w:sz w:val="21"/>
          <w:lang w:bidi="ar"/>
        </w:rPr>
        <w:t>本标准适用于</w:t>
      </w:r>
      <w:r>
        <w:rPr>
          <w:rFonts w:hint="eastAsia" w:ascii="Times New Roman" w:hAnsi="Times New Roman"/>
          <w:sz w:val="21"/>
          <w:lang w:eastAsia="zh-CN" w:bidi="ar"/>
        </w:rPr>
        <w:t>农资（储备）库</w:t>
      </w:r>
      <w:r>
        <w:rPr>
          <w:rFonts w:hint="eastAsia" w:ascii="Times New Roman" w:hAnsi="Times New Roman"/>
          <w:sz w:val="21"/>
          <w:lang w:bidi="ar"/>
        </w:rPr>
        <w:t>的建设与管理。</w:t>
      </w:r>
    </w:p>
    <w:p w14:paraId="6478168B">
      <w:pPr>
        <w:rPr>
          <w:rFonts w:ascii="Times New Roman" w:hAnsi="Times New Roman"/>
          <w:sz w:val="21"/>
          <w:lang w:bidi="ar"/>
        </w:rPr>
      </w:pPr>
      <w:r>
        <w:rPr>
          <w:rFonts w:hint="eastAsia" w:ascii="Times New Roman" w:hAnsi="Times New Roman"/>
          <w:sz w:val="21"/>
          <w:lang w:bidi="ar"/>
        </w:rPr>
        <w:t>该部分内容主要</w:t>
      </w:r>
      <w:r>
        <w:rPr>
          <w:rFonts w:hint="eastAsia" w:ascii="Times New Roman" w:hAnsi="Times New Roman"/>
          <w:sz w:val="21"/>
          <w:lang w:eastAsia="zh-CN" w:bidi="ar"/>
        </w:rPr>
        <w:t>根据行业调研实际，</w:t>
      </w:r>
      <w:r>
        <w:rPr>
          <w:rFonts w:hint="eastAsia" w:ascii="Times New Roman" w:hAnsi="Times New Roman"/>
          <w:sz w:val="21"/>
          <w:lang w:bidi="ar"/>
        </w:rPr>
        <w:t>梳理总结农资仓库建设与管理方面的重点工作内容，经研讨后结合专家评审意见确定。</w:t>
      </w:r>
    </w:p>
    <w:p w14:paraId="014B41BC">
      <w:pPr>
        <w:pStyle w:val="33"/>
        <w:spacing w:line="360" w:lineRule="auto"/>
        <w:ind w:firstLine="482"/>
        <w:rPr>
          <w:rFonts w:ascii="Times New Roman" w:hAnsi="Times New Roman"/>
          <w:b/>
          <w:bCs/>
          <w:sz w:val="21"/>
          <w:szCs w:val="24"/>
        </w:rPr>
      </w:pPr>
      <w:r>
        <w:rPr>
          <w:rFonts w:hint="eastAsia" w:ascii="Times New Roman"/>
          <w:b/>
          <w:bCs/>
          <w:sz w:val="21"/>
          <w:szCs w:val="24"/>
          <w:lang w:val="en-US" w:eastAsia="zh-CN"/>
        </w:rPr>
        <w:t>2.</w:t>
      </w:r>
      <w:r>
        <w:rPr>
          <w:rFonts w:hint="eastAsia" w:ascii="Times New Roman" w:hAnsi="Times New Roman"/>
          <w:b/>
          <w:bCs/>
          <w:sz w:val="21"/>
          <w:szCs w:val="24"/>
        </w:rPr>
        <w:t>规范性引用文件</w:t>
      </w:r>
    </w:p>
    <w:p w14:paraId="7DEC54E9">
      <w:pPr>
        <w:rPr>
          <w:rFonts w:ascii="Times New Roman" w:hAnsi="Times New Roman"/>
          <w:sz w:val="21"/>
          <w:lang w:bidi="ar"/>
        </w:rPr>
      </w:pPr>
      <w:r>
        <w:rPr>
          <w:rFonts w:hint="eastAsia" w:ascii="Times New Roman" w:hAnsi="Times New Roman"/>
          <w:sz w:val="21"/>
          <w:lang w:bidi="ar"/>
        </w:rPr>
        <w:t>本标准所引用的国家、行业有关规范、规程、标准均为现行且有效文件，条文中给出编号，以便使用时查找。</w:t>
      </w:r>
    </w:p>
    <w:p w14:paraId="53B14B4D">
      <w:pPr>
        <w:pStyle w:val="33"/>
        <w:spacing w:line="360" w:lineRule="auto"/>
        <w:ind w:firstLine="482"/>
        <w:rPr>
          <w:rFonts w:ascii="Times New Roman" w:hAnsi="Times New Roman"/>
          <w:b/>
          <w:bCs/>
          <w:sz w:val="21"/>
          <w:szCs w:val="24"/>
        </w:rPr>
      </w:pPr>
      <w:r>
        <w:rPr>
          <w:rFonts w:hint="eastAsia" w:ascii="Times New Roman"/>
          <w:b/>
          <w:bCs/>
          <w:sz w:val="21"/>
          <w:szCs w:val="24"/>
          <w:lang w:val="en-US" w:eastAsia="zh-CN"/>
        </w:rPr>
        <w:t>3.</w:t>
      </w:r>
      <w:r>
        <w:rPr>
          <w:rFonts w:hint="eastAsia" w:ascii="Times New Roman" w:hAnsi="Times New Roman"/>
          <w:b/>
          <w:bCs/>
          <w:sz w:val="21"/>
          <w:szCs w:val="24"/>
        </w:rPr>
        <w:t>术语和定义</w:t>
      </w:r>
    </w:p>
    <w:p w14:paraId="78CB3B57">
      <w:pPr>
        <w:rPr>
          <w:rFonts w:ascii="Times New Roman" w:hAnsi="Times New Roman"/>
          <w:sz w:val="21"/>
          <w:lang w:bidi="ar"/>
        </w:rPr>
      </w:pPr>
      <w:r>
        <w:rPr>
          <w:rFonts w:hint="eastAsia" w:ascii="Times New Roman" w:hAnsi="Times New Roman"/>
          <w:sz w:val="21"/>
          <w:lang w:bidi="ar"/>
        </w:rPr>
        <w:t>本部分对农业生产资料、农资（储备）库2个概念进行了定义说明，便于标准应用者理解和应用。</w:t>
      </w:r>
    </w:p>
    <w:p w14:paraId="4F4696A6">
      <w:pPr>
        <w:rPr>
          <w:rFonts w:ascii="Times New Roman" w:hAnsi="Times New Roman"/>
          <w:sz w:val="21"/>
          <w:lang w:bidi="ar"/>
        </w:rPr>
      </w:pPr>
      <w:r>
        <w:rPr>
          <w:rFonts w:hint="eastAsia" w:ascii="Times New Roman" w:hAnsi="Times New Roman"/>
          <w:sz w:val="21"/>
          <w:lang w:bidi="ar"/>
        </w:rPr>
        <w:t>其中，“农业生产资料”简称“农资”，其定义借鉴了《农业生产资料供应服务 农资供应商评价规范》（GB/T 43420</w:t>
      </w:r>
      <w:r>
        <w:rPr>
          <w:rFonts w:ascii="Times New Roman" w:hAnsi="Times New Roman"/>
          <w:sz w:val="21"/>
          <w:lang w:bidi="ar"/>
        </w:rPr>
        <w:t>-2023,3.1</w:t>
      </w:r>
      <w:r>
        <w:rPr>
          <w:rFonts w:hint="eastAsia" w:ascii="Times New Roman" w:hAnsi="Times New Roman"/>
          <w:sz w:val="21"/>
          <w:lang w:bidi="ar"/>
        </w:rPr>
        <w:t>）中对“农资”的定义内容。</w:t>
      </w:r>
    </w:p>
    <w:p w14:paraId="0064224E">
      <w:pPr>
        <w:rPr>
          <w:rFonts w:hint="eastAsia" w:ascii="Times New Roman" w:hAnsi="Times New Roman" w:eastAsia="宋体"/>
          <w:sz w:val="21"/>
          <w:lang w:eastAsia="zh-CN" w:bidi="ar"/>
        </w:rPr>
      </w:pPr>
      <w:r>
        <w:rPr>
          <w:rFonts w:hint="eastAsia" w:ascii="Times New Roman" w:hAnsi="Times New Roman"/>
          <w:sz w:val="21"/>
          <w:lang w:bidi="ar"/>
        </w:rPr>
        <w:t>“农资（储备）库”的定义</w:t>
      </w:r>
      <w:r>
        <w:rPr>
          <w:rFonts w:hint="eastAsia" w:ascii="Times New Roman" w:hAnsi="Times New Roman"/>
          <w:sz w:val="21"/>
          <w:lang w:eastAsia="zh-CN" w:bidi="ar"/>
        </w:rPr>
        <w:t>结合总社</w:t>
      </w:r>
      <w:r>
        <w:rPr>
          <w:rFonts w:hint="eastAsia" w:ascii="Times New Roman" w:hAnsi="Times New Roman"/>
          <w:sz w:val="21"/>
          <w:lang w:bidi="ar"/>
        </w:rPr>
        <w:t>《规划》</w:t>
      </w:r>
      <w:r>
        <w:rPr>
          <w:rFonts w:hint="eastAsia" w:ascii="Times New Roman" w:hAnsi="Times New Roman"/>
          <w:sz w:val="21"/>
          <w:lang w:eastAsia="zh-CN" w:bidi="ar"/>
        </w:rPr>
        <w:t>以及本标准编制初衷确定</w:t>
      </w:r>
      <w:r>
        <w:rPr>
          <w:rFonts w:hint="eastAsia" w:ascii="Times New Roman" w:hAnsi="Times New Roman"/>
          <w:sz w:val="21"/>
          <w:lang w:bidi="ar"/>
        </w:rPr>
        <w:t>。《规划》中提出，2024—2028年要新建改造一批全国供销合作社国家战略性农资（储备）库，优先用于存放国家和地方政策性农资储备。</w:t>
      </w:r>
    </w:p>
    <w:p w14:paraId="4A8EE7C9">
      <w:pPr>
        <w:pStyle w:val="33"/>
        <w:spacing w:line="360" w:lineRule="auto"/>
        <w:ind w:firstLine="482"/>
        <w:rPr>
          <w:rFonts w:ascii="Times New Roman" w:hAnsi="Times New Roman"/>
          <w:b/>
          <w:bCs/>
          <w:sz w:val="21"/>
          <w:szCs w:val="24"/>
        </w:rPr>
      </w:pPr>
      <w:r>
        <w:rPr>
          <w:rFonts w:hint="eastAsia" w:ascii="Times New Roman"/>
          <w:b/>
          <w:bCs/>
          <w:sz w:val="21"/>
          <w:szCs w:val="24"/>
          <w:lang w:val="en-US" w:eastAsia="zh-CN"/>
        </w:rPr>
        <w:t>4.</w:t>
      </w:r>
      <w:r>
        <w:rPr>
          <w:rFonts w:hint="eastAsia" w:ascii="Times New Roman" w:hAnsi="Times New Roman"/>
          <w:b/>
          <w:bCs/>
          <w:sz w:val="21"/>
          <w:szCs w:val="24"/>
        </w:rPr>
        <w:t>总体要求</w:t>
      </w:r>
    </w:p>
    <w:p w14:paraId="24168F13">
      <w:pPr>
        <w:rPr>
          <w:rFonts w:ascii="Times New Roman" w:hAnsi="Times New Roman"/>
          <w:sz w:val="21"/>
          <w:lang w:bidi="ar"/>
        </w:rPr>
      </w:pPr>
      <w:r>
        <w:rPr>
          <w:rFonts w:hint="eastAsia" w:ascii="Times New Roman" w:hAnsi="Times New Roman"/>
          <w:sz w:val="21"/>
          <w:lang w:bidi="ar"/>
        </w:rPr>
        <w:t>在本标准中，对农资（储备）库建设与管理的总体要求，是</w:t>
      </w:r>
      <w:r>
        <w:rPr>
          <w:rFonts w:hint="eastAsia" w:ascii="Times New Roman" w:hAnsi="Times New Roman"/>
          <w:sz w:val="21"/>
          <w:lang w:eastAsia="zh-CN" w:bidi="ar"/>
        </w:rPr>
        <w:t>在《规划》基础上，</w:t>
      </w:r>
      <w:r>
        <w:rPr>
          <w:rFonts w:hint="eastAsia" w:ascii="Times New Roman" w:hAnsi="Times New Roman"/>
          <w:sz w:val="21"/>
          <w:lang w:bidi="ar"/>
        </w:rPr>
        <w:t>结合我国现代农业发展趋势</w:t>
      </w:r>
      <w:r>
        <w:rPr>
          <w:rFonts w:hint="eastAsia" w:ascii="Times New Roman" w:hAnsi="Times New Roman"/>
          <w:sz w:val="21"/>
          <w:lang w:eastAsia="zh-CN" w:bidi="ar"/>
        </w:rPr>
        <w:t>、农资存储要求及</w:t>
      </w:r>
      <w:r>
        <w:rPr>
          <w:rFonts w:hint="eastAsia" w:ascii="Times New Roman" w:hAnsi="Times New Roman"/>
          <w:sz w:val="21"/>
          <w:lang w:bidi="ar"/>
        </w:rPr>
        <w:t>社会实际应用情况</w:t>
      </w:r>
      <w:r>
        <w:rPr>
          <w:rFonts w:hint="eastAsia" w:ascii="Times New Roman" w:hAnsi="Times New Roman"/>
          <w:sz w:val="21"/>
          <w:lang w:eastAsia="zh-CN" w:bidi="ar"/>
        </w:rPr>
        <w:t>综合</w:t>
      </w:r>
      <w:r>
        <w:rPr>
          <w:rFonts w:hint="eastAsia" w:ascii="Times New Roman" w:hAnsi="Times New Roman"/>
          <w:sz w:val="21"/>
          <w:lang w:bidi="ar"/>
        </w:rPr>
        <w:t>确定。</w:t>
      </w:r>
    </w:p>
    <w:p w14:paraId="57DEA3F9">
      <w:pPr>
        <w:pStyle w:val="33"/>
        <w:spacing w:line="360" w:lineRule="auto"/>
        <w:ind w:firstLine="482"/>
        <w:rPr>
          <w:rFonts w:ascii="Times New Roman" w:hAnsi="Times New Roman"/>
          <w:b/>
          <w:bCs/>
          <w:sz w:val="21"/>
          <w:szCs w:val="24"/>
        </w:rPr>
      </w:pPr>
      <w:r>
        <w:rPr>
          <w:rFonts w:hint="eastAsia" w:ascii="Times New Roman"/>
          <w:b/>
          <w:bCs/>
          <w:sz w:val="21"/>
          <w:szCs w:val="24"/>
          <w:lang w:val="en-US" w:eastAsia="zh-CN"/>
        </w:rPr>
        <w:t>5.</w:t>
      </w:r>
      <w:r>
        <w:rPr>
          <w:rFonts w:hint="eastAsia" w:ascii="Times New Roman" w:hAnsi="Times New Roman"/>
          <w:b/>
          <w:bCs/>
          <w:sz w:val="21"/>
          <w:szCs w:val="24"/>
        </w:rPr>
        <w:t>建设要求</w:t>
      </w:r>
    </w:p>
    <w:p w14:paraId="4F0987A2">
      <w:pPr>
        <w:pStyle w:val="33"/>
        <w:spacing w:line="360" w:lineRule="auto"/>
        <w:ind w:firstLine="482"/>
        <w:rPr>
          <w:rFonts w:ascii="Times New Roman" w:hAnsi="Times New Roman"/>
          <w:b/>
          <w:bCs/>
          <w:sz w:val="21"/>
          <w:szCs w:val="24"/>
        </w:rPr>
      </w:pPr>
      <w:r>
        <w:rPr>
          <w:rFonts w:hint="eastAsia" w:ascii="Times New Roman" w:hAnsi="Times New Roman"/>
          <w:b/>
          <w:bCs/>
          <w:sz w:val="21"/>
          <w:szCs w:val="24"/>
        </w:rPr>
        <w:t>（1）基本要求</w:t>
      </w:r>
    </w:p>
    <w:p w14:paraId="1FEFD331">
      <w:pPr>
        <w:rPr>
          <w:rFonts w:ascii="Times New Roman" w:hAnsi="Times New Roman"/>
          <w:sz w:val="21"/>
          <w:lang w:bidi="ar"/>
        </w:rPr>
      </w:pPr>
      <w:r>
        <w:rPr>
          <w:rFonts w:hint="eastAsia" w:ascii="Times New Roman" w:hAnsi="Times New Roman"/>
          <w:sz w:val="21"/>
          <w:lang w:bidi="ar"/>
        </w:rPr>
        <w:t>农资（储备）库建设标准应以提高农资仓储流通效率为原则，同时要符合地方农资需求和农业发展趋势。宜满足当地使用农资的现实需求与</w:t>
      </w:r>
      <w:r>
        <w:rPr>
          <w:rFonts w:hint="eastAsia" w:ascii="Times New Roman" w:hAnsi="Times New Roman"/>
          <w:sz w:val="21"/>
          <w:lang w:eastAsia="zh-CN" w:bidi="ar"/>
        </w:rPr>
        <w:t>未来潜在发展</w:t>
      </w:r>
      <w:r>
        <w:rPr>
          <w:rFonts w:hint="eastAsia" w:ascii="Times New Roman" w:hAnsi="Times New Roman"/>
          <w:sz w:val="21"/>
          <w:lang w:bidi="ar"/>
        </w:rPr>
        <w:t>需求，以农资的产、运、储、销等现实需求为基础，</w:t>
      </w:r>
      <w:r>
        <w:rPr>
          <w:rFonts w:hint="eastAsia" w:ascii="Times New Roman" w:hAnsi="Times New Roman"/>
          <w:sz w:val="21"/>
          <w:lang w:eastAsia="zh-CN" w:bidi="ar"/>
        </w:rPr>
        <w:t>综合</w:t>
      </w:r>
      <w:r>
        <w:rPr>
          <w:rFonts w:hint="eastAsia" w:ascii="Times New Roman" w:hAnsi="Times New Roman"/>
          <w:sz w:val="21"/>
          <w:lang w:bidi="ar"/>
        </w:rPr>
        <w:t>考虑经济效益及社会效益，做到安全经济、绿色环保。</w:t>
      </w:r>
    </w:p>
    <w:p w14:paraId="2A65716B">
      <w:pPr>
        <w:rPr>
          <w:rFonts w:ascii="Times New Roman" w:hAnsi="Times New Roman"/>
          <w:sz w:val="21"/>
          <w:lang w:bidi="ar"/>
        </w:rPr>
      </w:pPr>
      <w:r>
        <w:rPr>
          <w:rFonts w:hint="eastAsia" w:ascii="Times New Roman" w:hAnsi="Times New Roman"/>
          <w:sz w:val="21"/>
          <w:lang w:bidi="ar"/>
        </w:rPr>
        <w:t>当前国内许多农资库仍有预留发展用地，应充分利用现有资源，在现有库点基础上进行改、扩建，是利用有限资源与资金更好地发挥投资效益的有效途径，充分利用库区空地，扩大库容，利用原有设施，完善与提高工艺及装备水平，避免重复建设。</w:t>
      </w:r>
    </w:p>
    <w:p w14:paraId="32D03500">
      <w:pPr>
        <w:pStyle w:val="33"/>
        <w:spacing w:line="360" w:lineRule="auto"/>
        <w:ind w:firstLine="482"/>
        <w:rPr>
          <w:rFonts w:ascii="Times New Roman" w:hAnsi="Times New Roman"/>
          <w:b/>
          <w:bCs/>
          <w:sz w:val="21"/>
          <w:szCs w:val="24"/>
        </w:rPr>
      </w:pPr>
      <w:r>
        <w:rPr>
          <w:rFonts w:hint="eastAsia" w:ascii="Times New Roman" w:hAnsi="Times New Roman"/>
          <w:b/>
          <w:bCs/>
          <w:sz w:val="21"/>
          <w:szCs w:val="24"/>
        </w:rPr>
        <w:t>（2）规模等级划分</w:t>
      </w:r>
    </w:p>
    <w:p w14:paraId="0F0E631D">
      <w:pPr>
        <w:rPr>
          <w:rFonts w:hint="eastAsia" w:ascii="Times New Roman" w:hAnsi="Times New Roman" w:eastAsia="宋体"/>
          <w:sz w:val="21"/>
          <w:lang w:val="en-US" w:eastAsia="zh-CN" w:bidi="ar"/>
        </w:rPr>
      </w:pPr>
      <w:r>
        <w:rPr>
          <w:rFonts w:hint="eastAsia" w:ascii="Times New Roman" w:hAnsi="Times New Roman"/>
          <w:sz w:val="21"/>
          <w:lang w:eastAsia="zh-CN" w:bidi="ar"/>
        </w:rPr>
        <w:t>团体标准《国家战略性农资（储备）库建设与管理规范》（T/CAMPA004-2024）中，将</w:t>
      </w:r>
      <w:r>
        <w:rPr>
          <w:rFonts w:hint="eastAsia" w:ascii="Times New Roman" w:hAnsi="Times New Roman"/>
          <w:sz w:val="21"/>
          <w:lang w:bidi="ar"/>
        </w:rPr>
        <w:t>国家战略性农资（储备）库包括中心库和省域库2个类别</w:t>
      </w:r>
      <w:r>
        <w:rPr>
          <w:rFonts w:hint="eastAsia" w:ascii="Times New Roman" w:hAnsi="Times New Roman"/>
          <w:sz w:val="21"/>
          <w:lang w:eastAsia="zh-CN" w:bidi="ar"/>
        </w:rPr>
        <w:t>。为此，本标准结合行业实际应用情况和储备要求，将农资（储备）库分为中心库、省域库和县域库</w:t>
      </w:r>
      <w:r>
        <w:rPr>
          <w:rFonts w:hint="eastAsia" w:ascii="Times New Roman" w:hAnsi="Times New Roman"/>
          <w:sz w:val="21"/>
          <w:lang w:val="en-US" w:eastAsia="zh-CN" w:bidi="ar"/>
        </w:rPr>
        <w:t>3类。其中，</w:t>
      </w:r>
      <w:r>
        <w:rPr>
          <w:rFonts w:hint="eastAsia" w:ascii="Times New Roman" w:hAnsi="Times New Roman"/>
          <w:sz w:val="21"/>
          <w:lang w:eastAsia="zh-CN" w:bidi="ar"/>
        </w:rPr>
        <w:t>中心库、省域库的综合存储库容（t）和建筑总面积（㎡）要求与团体标准T/CAMPA004-2024中的中心库、省域库保持一致。县域库的综合存储库容（t）不低于</w:t>
      </w:r>
      <w:r>
        <w:rPr>
          <w:rFonts w:hint="eastAsia" w:ascii="Times New Roman" w:hAnsi="Times New Roman"/>
          <w:sz w:val="21"/>
          <w:lang w:val="en-US" w:eastAsia="zh-CN" w:bidi="ar"/>
        </w:rPr>
        <w:t>3000吨，</w:t>
      </w:r>
      <w:r>
        <w:rPr>
          <w:rFonts w:hint="eastAsia" w:ascii="Times New Roman" w:hAnsi="Times New Roman"/>
          <w:sz w:val="21"/>
          <w:lang w:eastAsia="zh-CN" w:bidi="ar"/>
        </w:rPr>
        <w:t>建筑总面积（㎡）不低于</w:t>
      </w:r>
      <w:r>
        <w:rPr>
          <w:rFonts w:hint="eastAsia" w:ascii="Times New Roman" w:hAnsi="Times New Roman"/>
          <w:sz w:val="21"/>
          <w:lang w:val="en-US" w:eastAsia="zh-CN" w:bidi="ar"/>
        </w:rPr>
        <w:t>2000平米，</w:t>
      </w:r>
      <w:r>
        <w:rPr>
          <w:rFonts w:hint="eastAsia" w:ascii="Times New Roman" w:hAnsi="Times New Roman"/>
          <w:sz w:val="21"/>
          <w:highlight w:val="none"/>
        </w:rPr>
        <w:t>县域库配送半径不少于30km</w:t>
      </w:r>
      <w:r>
        <w:rPr>
          <w:rFonts w:hint="eastAsia" w:ascii="Times New Roman" w:hAnsi="Times New Roman"/>
          <w:sz w:val="21"/>
          <w:highlight w:val="none"/>
          <w:lang w:eastAsia="zh-CN"/>
        </w:rPr>
        <w:t>。县域库建筑面积是抽样调查供销合作社系统重点农资企业目前</w:t>
      </w:r>
      <w:r>
        <w:rPr>
          <w:rFonts w:hint="eastAsia" w:ascii="Times New Roman" w:hAnsi="Times New Roman"/>
          <w:sz w:val="21"/>
          <w:highlight w:val="none"/>
        </w:rPr>
        <w:t>县域库</w:t>
      </w:r>
      <w:r>
        <w:rPr>
          <w:rFonts w:hint="eastAsia" w:ascii="Times New Roman" w:hAnsi="Times New Roman"/>
          <w:sz w:val="21"/>
          <w:highlight w:val="none"/>
          <w:lang w:eastAsia="zh-CN"/>
        </w:rPr>
        <w:t>建设情况后综合确定。</w:t>
      </w:r>
    </w:p>
    <w:p w14:paraId="1CA2AA05">
      <w:pPr>
        <w:rPr>
          <w:rFonts w:ascii="Times New Roman" w:hAnsi="Times New Roman"/>
          <w:sz w:val="21"/>
          <w:lang w:bidi="ar"/>
        </w:rPr>
      </w:pPr>
      <w:r>
        <w:rPr>
          <w:rFonts w:hint="eastAsia" w:ascii="Times New Roman" w:hAnsi="Times New Roman"/>
          <w:sz w:val="21"/>
          <w:lang w:eastAsia="zh-CN" w:bidi="ar"/>
        </w:rPr>
        <w:t>此外，</w:t>
      </w:r>
      <w:r>
        <w:rPr>
          <w:rFonts w:hint="eastAsia" w:ascii="Times New Roman" w:hAnsi="Times New Roman"/>
          <w:sz w:val="21"/>
          <w:lang w:bidi="ar"/>
        </w:rPr>
        <w:t>在建设</w:t>
      </w:r>
      <w:r>
        <w:rPr>
          <w:rFonts w:hint="eastAsia" w:ascii="Times New Roman" w:hAnsi="Times New Roman"/>
          <w:sz w:val="21"/>
          <w:lang w:eastAsia="zh-CN" w:bidi="ar"/>
        </w:rPr>
        <w:t>农资（储备）库</w:t>
      </w:r>
      <w:r>
        <w:rPr>
          <w:rFonts w:hint="eastAsia" w:ascii="Times New Roman" w:hAnsi="Times New Roman"/>
          <w:sz w:val="21"/>
          <w:lang w:bidi="ar"/>
        </w:rPr>
        <w:t>时，建筑总面积还需要根据属地的容积率要求，采用不同的建筑型式。</w:t>
      </w:r>
    </w:p>
    <w:p w14:paraId="18F4CFDC">
      <w:pPr>
        <w:pStyle w:val="33"/>
        <w:numPr>
          <w:ilvl w:val="0"/>
          <w:numId w:val="11"/>
        </w:numPr>
        <w:spacing w:line="360" w:lineRule="auto"/>
        <w:ind w:firstLine="482"/>
        <w:rPr>
          <w:rFonts w:ascii="Times New Roman" w:hAnsi="Times New Roman"/>
          <w:b/>
          <w:bCs/>
          <w:sz w:val="21"/>
          <w:szCs w:val="24"/>
        </w:rPr>
      </w:pPr>
      <w:r>
        <w:rPr>
          <w:rFonts w:hint="eastAsia" w:ascii="Times New Roman" w:hAnsi="Times New Roman"/>
          <w:b/>
          <w:bCs/>
          <w:sz w:val="21"/>
          <w:szCs w:val="24"/>
        </w:rPr>
        <w:t>选址要求</w:t>
      </w:r>
    </w:p>
    <w:p w14:paraId="32EDE659">
      <w:pPr>
        <w:rPr>
          <w:rFonts w:hint="eastAsia" w:ascii="Times New Roman" w:hAnsi="Times New Roman"/>
          <w:sz w:val="21"/>
          <w:lang w:bidi="ar"/>
        </w:rPr>
      </w:pPr>
      <w:r>
        <w:rPr>
          <w:rFonts w:hint="eastAsia" w:ascii="Times New Roman" w:hAnsi="Times New Roman"/>
          <w:sz w:val="21"/>
          <w:lang w:bidi="ar"/>
        </w:rPr>
        <w:t>粮食是关系国计民生的重要战略性商品，农资（化肥、农药、种子等）则是农业生产的基础，其稳定供应是保障粮食稳产增产的关键前提。在全国深入实施新一轮千亿斤粮食产能提升行动、坚决扛稳粮食安全政治责任的背景下，建设现代化、标准化的农资仓储设施显得尤为迫切。</w:t>
      </w:r>
    </w:p>
    <w:p w14:paraId="28343E93">
      <w:pPr>
        <w:rPr>
          <w:rFonts w:hint="eastAsia" w:ascii="Times New Roman" w:hAnsi="Times New Roman"/>
          <w:sz w:val="21"/>
          <w:lang w:bidi="ar"/>
        </w:rPr>
      </w:pPr>
    </w:p>
    <w:p w14:paraId="615B522B">
      <w:pPr>
        <w:rPr>
          <w:rFonts w:ascii="Times New Roman" w:hAnsi="Times New Roman"/>
          <w:sz w:val="21"/>
          <w:lang w:bidi="ar"/>
        </w:rPr>
      </w:pPr>
      <w:r>
        <w:rPr>
          <w:rFonts w:hint="eastAsia" w:ascii="Times New Roman" w:hAnsi="Times New Roman"/>
          <w:sz w:val="21"/>
          <w:lang w:bidi="ar"/>
        </w:rPr>
        <w:t>农资（储备）库的选址要求与国家战略性农资（储备）库基本一致。除满足一般物流建筑工程选址的基本条件外，还应结合农资便于存储、运输、销售等实际应用需求，优先在以下区域布点：粮食主产区和产粮大县</w:t>
      </w:r>
      <w:r>
        <w:rPr>
          <w:rFonts w:hint="eastAsia"/>
          <w:sz w:val="21"/>
          <w:lang w:val="en-US" w:eastAsia="zh-CN" w:bidi="ar"/>
        </w:rPr>
        <w:t>区域</w:t>
      </w:r>
      <w:r>
        <w:rPr>
          <w:rFonts w:hint="eastAsia" w:ascii="Times New Roman" w:hAnsi="Times New Roman"/>
          <w:sz w:val="21"/>
          <w:lang w:bidi="ar"/>
        </w:rPr>
        <w:t>、重要物流枢纽、农资集散地。同时，选址必须避开易燃、易爆场所，以及可能对化肥、农药等产生不利影响的污染源场地。</w:t>
      </w:r>
      <w:r>
        <w:rPr>
          <w:rFonts w:hint="eastAsia" w:ascii="Times New Roman" w:hAnsi="Times New Roman"/>
          <w:sz w:val="21"/>
          <w:lang w:eastAsia="zh-CN" w:bidi="ar"/>
        </w:rPr>
        <w:t>因此，</w:t>
      </w:r>
      <w:r>
        <w:rPr>
          <w:rFonts w:hint="eastAsia" w:ascii="Times New Roman" w:hAnsi="Times New Roman"/>
          <w:sz w:val="21"/>
          <w:lang w:bidi="ar"/>
        </w:rPr>
        <w:t>本部分内容主要参考了T/CAMPA004中 5.3 的有关规定。</w:t>
      </w:r>
    </w:p>
    <w:p w14:paraId="2C6CB8BF">
      <w:pPr>
        <w:pStyle w:val="27"/>
        <w:numPr>
          <w:ilvl w:val="0"/>
          <w:numId w:val="11"/>
        </w:numPr>
        <w:ind w:firstLineChars="0"/>
        <w:rPr>
          <w:rFonts w:ascii="Times New Roman" w:hAnsi="Times New Roman"/>
          <w:b/>
          <w:bCs/>
          <w:sz w:val="21"/>
        </w:rPr>
      </w:pPr>
      <w:r>
        <w:rPr>
          <w:rFonts w:hint="eastAsia" w:ascii="Times New Roman" w:hAnsi="Times New Roman"/>
          <w:b/>
          <w:bCs/>
          <w:sz w:val="21"/>
        </w:rPr>
        <w:t>农资（储备）库构成</w:t>
      </w:r>
    </w:p>
    <w:p w14:paraId="0117E7AD">
      <w:pPr>
        <w:rPr>
          <w:rFonts w:ascii="Times New Roman" w:hAnsi="Times New Roman"/>
          <w:sz w:val="21"/>
          <w:lang w:bidi="ar"/>
        </w:rPr>
      </w:pPr>
      <w:r>
        <w:rPr>
          <w:rFonts w:hint="eastAsia" w:ascii="Times New Roman" w:hAnsi="Times New Roman"/>
          <w:sz w:val="21"/>
          <w:lang w:bidi="ar"/>
        </w:rPr>
        <w:t>农资（储备）库建设应根据实际需要合理确定建设内容，并非皆为必须。对于改建或扩建项目应充分利用已有基础设施，不建或少建非生产性项目，力求降低建设项目投资成本。</w:t>
      </w:r>
    </w:p>
    <w:p w14:paraId="11DAA870">
      <w:pPr>
        <w:pStyle w:val="27"/>
        <w:numPr>
          <w:ilvl w:val="0"/>
          <w:numId w:val="11"/>
        </w:numPr>
        <w:ind w:firstLineChars="0"/>
        <w:rPr>
          <w:rFonts w:ascii="Times New Roman" w:hAnsi="Times New Roman"/>
          <w:b/>
          <w:bCs/>
          <w:sz w:val="21"/>
        </w:rPr>
      </w:pPr>
      <w:r>
        <w:rPr>
          <w:rFonts w:hint="eastAsia" w:ascii="Times New Roman" w:hAnsi="Times New Roman"/>
          <w:b/>
          <w:bCs/>
          <w:sz w:val="21"/>
        </w:rPr>
        <w:t>建筑与总平面要求</w:t>
      </w:r>
    </w:p>
    <w:p w14:paraId="4454791F">
      <w:pPr>
        <w:rPr>
          <w:rFonts w:ascii="Times New Roman" w:hAnsi="Times New Roman"/>
          <w:sz w:val="21"/>
        </w:rPr>
      </w:pPr>
      <w:r>
        <w:rPr>
          <w:rFonts w:hint="eastAsia" w:ascii="Times New Roman" w:hAnsi="Times New Roman"/>
          <w:sz w:val="21"/>
        </w:rPr>
        <w:t>1）基本要求</w:t>
      </w:r>
    </w:p>
    <w:p w14:paraId="061DD7BD">
      <w:pPr>
        <w:rPr>
          <w:rFonts w:ascii="Times New Roman" w:hAnsi="Times New Roman"/>
          <w:sz w:val="21"/>
          <w:lang w:bidi="ar"/>
        </w:rPr>
      </w:pPr>
      <w:r>
        <w:rPr>
          <w:rFonts w:hint="eastAsia" w:ascii="Times New Roman" w:hAnsi="Times New Roman"/>
          <w:sz w:val="21"/>
          <w:lang w:bidi="ar"/>
        </w:rPr>
        <w:t>《通用仓库及库区规划设计参数》（GB/T 28581）是库房设计的通用标准，本标准中，仓库及库区建筑设计按该标准要求执行。</w:t>
      </w:r>
    </w:p>
    <w:p w14:paraId="144B495D">
      <w:pPr>
        <w:rPr>
          <w:rFonts w:ascii="Times New Roman" w:hAnsi="Times New Roman"/>
          <w:sz w:val="21"/>
          <w:lang w:bidi="ar"/>
        </w:rPr>
      </w:pPr>
      <w:r>
        <w:rPr>
          <w:rFonts w:hint="eastAsia" w:ascii="Times New Roman" w:hAnsi="Times New Roman"/>
          <w:sz w:val="21"/>
          <w:lang w:bidi="ar"/>
        </w:rPr>
        <w:t>仓库各类建（构）筑物应符合《建筑设计防火规范》（GB 50016）</w:t>
      </w:r>
      <w:r>
        <w:rPr>
          <w:rFonts w:hint="eastAsia" w:ascii="Times New Roman" w:hAnsi="Times New Roman"/>
          <w:sz w:val="21"/>
          <w:szCs w:val="21"/>
          <w:lang w:bidi="ar"/>
        </w:rPr>
        <w:t>及</w:t>
      </w:r>
      <w:r>
        <w:rPr>
          <w:rFonts w:hint="eastAsia" w:ascii="Times New Roman" w:hAnsi="Times New Roman"/>
          <w:sz w:val="21"/>
          <w:lang w:bidi="ar"/>
        </w:rPr>
        <w:t>《建筑防火通用规范》（GB 55037）中关于建筑设计防火的相关规定，同时应满足公安部《仓库防火安全管理规则》及《建设工程消防监督管理规定》的相关规定。</w:t>
      </w:r>
    </w:p>
    <w:p w14:paraId="32A2857F">
      <w:pPr>
        <w:rPr>
          <w:rFonts w:ascii="Times New Roman" w:hAnsi="Times New Roman"/>
          <w:sz w:val="21"/>
          <w:lang w:bidi="ar"/>
        </w:rPr>
      </w:pPr>
      <w:r>
        <w:rPr>
          <w:rFonts w:hint="eastAsia" w:ascii="Times New Roman" w:hAnsi="Times New Roman"/>
          <w:sz w:val="21"/>
          <w:lang w:bidi="ar"/>
        </w:rPr>
        <w:t>农资储备库一般规模较大，为方便管理，办公和配套用房一般与库房同期建设。为降低安全风险，一般要求办公配套用房和库房应具有一定的空间隔离。</w:t>
      </w:r>
    </w:p>
    <w:p w14:paraId="7CF0DA14">
      <w:pPr>
        <w:rPr>
          <w:rFonts w:ascii="Times New Roman" w:hAnsi="Times New Roman"/>
          <w:sz w:val="21"/>
          <w:lang w:bidi="ar"/>
        </w:rPr>
      </w:pPr>
      <w:r>
        <w:rPr>
          <w:rFonts w:hint="eastAsia" w:ascii="Times New Roman" w:hAnsi="Times New Roman"/>
          <w:sz w:val="21"/>
          <w:lang w:bidi="ar"/>
        </w:rPr>
        <w:t>根据《通用仓库及库区规划设计参数》（GB/T 28581）的4.4.2，库区设置人行专用通道时，宽度应不小于1m，并设有明确标识。</w:t>
      </w:r>
    </w:p>
    <w:p w14:paraId="3073E564">
      <w:pPr>
        <w:rPr>
          <w:rFonts w:ascii="Times New Roman" w:hAnsi="Times New Roman"/>
          <w:sz w:val="21"/>
          <w:lang w:bidi="ar"/>
        </w:rPr>
      </w:pPr>
      <w:r>
        <w:rPr>
          <w:rFonts w:hint="eastAsia" w:ascii="Times New Roman" w:hAnsi="Times New Roman"/>
          <w:sz w:val="21"/>
          <w:lang w:bidi="ar"/>
        </w:rPr>
        <w:t>本标准中，办公用房、配套用房建设参照《民用建筑通用规范》（</w:t>
      </w:r>
      <w:r>
        <w:rPr>
          <w:rFonts w:ascii="Times New Roman" w:hAnsi="Times New Roman"/>
          <w:sz w:val="21"/>
          <w:lang w:bidi="ar"/>
        </w:rPr>
        <w:t>GB 55031</w:t>
      </w:r>
      <w:r>
        <w:rPr>
          <w:rFonts w:hint="eastAsia" w:ascii="Times New Roman" w:hAnsi="Times New Roman"/>
          <w:sz w:val="21"/>
          <w:lang w:bidi="ar"/>
        </w:rPr>
        <w:t>）和《建筑防火通用规范》（GB 55037）执行。</w:t>
      </w:r>
    </w:p>
    <w:p w14:paraId="73DF19F3">
      <w:pPr>
        <w:rPr>
          <w:rFonts w:ascii="Times New Roman" w:hAnsi="Times New Roman"/>
          <w:sz w:val="21"/>
          <w:lang w:bidi="ar"/>
        </w:rPr>
      </w:pPr>
      <w:r>
        <w:rPr>
          <w:rFonts w:hint="eastAsia" w:ascii="Times New Roman" w:hAnsi="Times New Roman"/>
          <w:sz w:val="21"/>
          <w:lang w:bidi="ar"/>
        </w:rPr>
        <w:t>危险化学品存储应按照《危险化学品仓库储存通则》（GB 15603）相关条款执行。</w:t>
      </w:r>
    </w:p>
    <w:p w14:paraId="5FBF6ABA">
      <w:pPr>
        <w:rPr>
          <w:rFonts w:ascii="Times New Roman" w:hAnsi="Times New Roman"/>
          <w:sz w:val="21"/>
          <w:lang w:bidi="ar"/>
        </w:rPr>
      </w:pPr>
      <w:r>
        <w:rPr>
          <w:rFonts w:hint="eastAsia" w:ascii="Times New Roman" w:hAnsi="Times New Roman"/>
          <w:sz w:val="21"/>
          <w:lang w:bidi="ar"/>
        </w:rPr>
        <w:t>2）库房要求</w:t>
      </w:r>
    </w:p>
    <w:p w14:paraId="758E9AE0">
      <w:pPr>
        <w:rPr>
          <w:rFonts w:ascii="Times New Roman" w:hAnsi="Times New Roman"/>
          <w:sz w:val="21"/>
          <w:lang w:bidi="ar"/>
        </w:rPr>
      </w:pPr>
      <w:r>
        <w:rPr>
          <w:rFonts w:hint="eastAsia" w:ascii="Times New Roman" w:hAnsi="Times New Roman"/>
          <w:sz w:val="21"/>
          <w:lang w:bidi="ar"/>
        </w:rPr>
        <w:t>本标准中，库房等物流建筑设计建造基本要求参照《物流建筑设计规范》（GB 51157）相关条款执行。</w:t>
      </w:r>
    </w:p>
    <w:p w14:paraId="51630710">
      <w:pPr>
        <w:rPr>
          <w:rFonts w:ascii="Times New Roman" w:hAnsi="Times New Roman"/>
          <w:sz w:val="21"/>
          <w:lang w:bidi="ar"/>
        </w:rPr>
      </w:pPr>
      <w:r>
        <w:rPr>
          <w:rFonts w:hint="eastAsia" w:ascii="Times New Roman" w:hAnsi="Times New Roman"/>
          <w:sz w:val="21"/>
          <w:lang w:bidi="ar"/>
        </w:rPr>
        <w:t>库房是核心的农资储备建筑，库房建造的主要内容有库房结构、屋面系统、地坪、装卸站台、库门等。库房结构包括层数、支撑柱间距、库房净高等。</w:t>
      </w:r>
    </w:p>
    <w:p w14:paraId="51220E6D">
      <w:pPr>
        <w:rPr>
          <w:rFonts w:ascii="Times New Roman" w:hAnsi="Times New Roman"/>
          <w:sz w:val="21"/>
          <w:lang w:bidi="ar"/>
        </w:rPr>
      </w:pPr>
      <w:r>
        <w:rPr>
          <w:rFonts w:hint="eastAsia" w:ascii="Times New Roman" w:hAnsi="Times New Roman"/>
          <w:sz w:val="21"/>
          <w:lang w:bidi="ar"/>
        </w:rPr>
        <w:t>针对新规划建设的肥料库房，应采用空间较大、面积利用率较高的建筑型式，应能够适应机械运输的基本条件。</w:t>
      </w:r>
    </w:p>
    <w:p w14:paraId="4B18307E">
      <w:pPr>
        <w:rPr>
          <w:rFonts w:ascii="Times New Roman" w:hAnsi="Times New Roman"/>
          <w:sz w:val="21"/>
          <w:lang w:bidi="ar"/>
        </w:rPr>
      </w:pPr>
      <w:r>
        <w:rPr>
          <w:rFonts w:hint="eastAsia" w:ascii="Times New Roman" w:hAnsi="Times New Roman"/>
          <w:sz w:val="21"/>
          <w:lang w:bidi="ar"/>
        </w:rPr>
        <w:t>本标准中，屋面坡度参照《物流建筑设计规范》（GB51157）中9.4.1的相关要求。由于肥料吸湿性强等原因，库房屋面、地坪应采取防潮措施。出于经济性考虑，在地下水位很低的区域建设的库房不统一要求设置地面防潮层，但受季节影响地表水位出现变化，没有设置防潮层的库房地面可能会出现返潮现象</w:t>
      </w:r>
      <w:r>
        <w:rPr>
          <w:rFonts w:hint="eastAsia" w:ascii="Times New Roman" w:hAnsi="Times New Roman"/>
          <w:sz w:val="21"/>
          <w:lang w:eastAsia="zh-CN" w:bidi="ar"/>
        </w:rPr>
        <w:t>。根据实地调研，一般农资仓库建设时均设置了必要的</w:t>
      </w:r>
      <w:r>
        <w:rPr>
          <w:rFonts w:hint="eastAsia" w:ascii="Times New Roman" w:hAnsi="Times New Roman"/>
          <w:sz w:val="21"/>
          <w:lang w:bidi="ar"/>
        </w:rPr>
        <w:t>防潮措施。</w:t>
      </w:r>
    </w:p>
    <w:p w14:paraId="4FF6DC61">
      <w:pPr>
        <w:rPr>
          <w:rFonts w:ascii="Times New Roman" w:hAnsi="Times New Roman"/>
          <w:sz w:val="21"/>
          <w:lang w:bidi="ar"/>
        </w:rPr>
      </w:pPr>
      <w:r>
        <w:rPr>
          <w:rFonts w:hint="eastAsia" w:ascii="Times New Roman" w:hAnsi="Times New Roman"/>
          <w:sz w:val="21"/>
          <w:lang w:bidi="ar"/>
        </w:rPr>
        <w:t>为适应车辆运行需要，主要运输通道及库房地坪推荐采用混凝土地坪，单层肥料库房的地面载荷不少于3t/m</w:t>
      </w:r>
      <w:r>
        <w:rPr>
          <w:rFonts w:hint="eastAsia" w:ascii="Times New Roman" w:hAnsi="Times New Roman"/>
          <w:sz w:val="21"/>
          <w:vertAlign w:val="superscript"/>
          <w:lang w:bidi="ar"/>
        </w:rPr>
        <w:t>2</w:t>
      </w:r>
      <w:r>
        <w:rPr>
          <w:rFonts w:hint="eastAsia" w:ascii="Times New Roman" w:hAnsi="Times New Roman"/>
          <w:sz w:val="21"/>
          <w:lang w:bidi="ar"/>
        </w:rPr>
        <w:t>，该指标参考《通用仓库及库区规划设计参数》（GB/T 28581）中5.2.4.1；多层库房的楼面及农药等地面设计荷载，依据农资品种、堆码方式、装卸作业方式合理确定。</w:t>
      </w:r>
    </w:p>
    <w:p w14:paraId="431CD722">
      <w:pPr>
        <w:rPr>
          <w:rFonts w:ascii="Times New Roman" w:hAnsi="Times New Roman"/>
          <w:sz w:val="21"/>
          <w:lang w:bidi="ar"/>
        </w:rPr>
      </w:pPr>
      <w:r>
        <w:rPr>
          <w:rFonts w:hint="eastAsia" w:ascii="Times New Roman" w:hAnsi="Times New Roman"/>
          <w:sz w:val="21"/>
          <w:lang w:bidi="ar"/>
        </w:rPr>
        <w:t>本标准中，装卸台设计要求参考了《通用仓库及库区规划设计参数》（GB/T 28581）中5.2.8.1、5.2.8.2、5.2.8.3的相关内容。</w:t>
      </w:r>
    </w:p>
    <w:p w14:paraId="062732AF">
      <w:pPr>
        <w:rPr>
          <w:rFonts w:hint="eastAsia" w:ascii="Times New Roman" w:hAnsi="Times New Roman"/>
          <w:sz w:val="21"/>
          <w:lang w:bidi="ar"/>
        </w:rPr>
      </w:pPr>
      <w:r>
        <w:rPr>
          <w:rFonts w:hint="eastAsia" w:ascii="Times New Roman" w:hAnsi="Times New Roman"/>
          <w:sz w:val="21"/>
          <w:lang w:bidi="ar"/>
        </w:rPr>
        <w:t>本标准中，库门设计参考了《通用仓库及库区规划设计参数》（GB/T 28581）中5.2.6.1及5.2.6.2的相关内容。</w:t>
      </w:r>
    </w:p>
    <w:p w14:paraId="1764AFA5">
      <w:pPr>
        <w:rPr>
          <w:rFonts w:ascii="Times New Roman" w:hAnsi="Times New Roman"/>
          <w:sz w:val="21"/>
          <w:lang w:bidi="ar"/>
        </w:rPr>
      </w:pPr>
      <w:r>
        <w:rPr>
          <w:rFonts w:hint="eastAsia" w:ascii="Times New Roman" w:hAnsi="Times New Roman"/>
          <w:sz w:val="21"/>
          <w:lang w:bidi="ar"/>
        </w:rPr>
        <w:t>同时考虑到肥料库房的机械出入需要以及肥料存储要求，库房宜采用自然采光和自然通风方式，外窗设置应避免阳光直射商品，在高温、高湿地区，宜设置机械通风设施，通风窗应方便开闭。</w:t>
      </w:r>
    </w:p>
    <w:p w14:paraId="24504C79">
      <w:pPr>
        <w:rPr>
          <w:rFonts w:ascii="Times New Roman" w:hAnsi="Times New Roman"/>
          <w:sz w:val="21"/>
          <w:lang w:bidi="ar"/>
        </w:rPr>
      </w:pPr>
      <w:r>
        <w:rPr>
          <w:rFonts w:hint="eastAsia" w:ascii="Times New Roman" w:hAnsi="Times New Roman"/>
          <w:sz w:val="21"/>
          <w:lang w:bidi="ar"/>
        </w:rPr>
        <w:t>库区道路要满足《建筑设计防火规范》（GB 50016）中7.1.8消防车道的有关规定，包括车道的净宽度和净空高度均不应小于4.0m。</w:t>
      </w:r>
    </w:p>
    <w:p w14:paraId="68109DAE">
      <w:pPr>
        <w:rPr>
          <w:rFonts w:ascii="Times New Roman" w:hAnsi="Times New Roman"/>
          <w:sz w:val="21"/>
          <w:lang w:bidi="ar"/>
        </w:rPr>
      </w:pPr>
      <w:r>
        <w:rPr>
          <w:rFonts w:hint="eastAsia" w:ascii="Times New Roman" w:hAnsi="Times New Roman"/>
          <w:sz w:val="21"/>
          <w:lang w:bidi="ar"/>
        </w:rPr>
        <w:t>库内装卸农药主通道宽度不宜少于</w:t>
      </w:r>
      <w:r>
        <w:rPr>
          <w:rFonts w:ascii="Times New Roman" w:hAnsi="Times New Roman"/>
          <w:sz w:val="21"/>
          <w:lang w:bidi="ar"/>
        </w:rPr>
        <w:t>1.5m</w:t>
      </w:r>
      <w:r>
        <w:rPr>
          <w:rFonts w:hint="eastAsia" w:ascii="Times New Roman" w:hAnsi="Times New Roman"/>
          <w:sz w:val="21"/>
          <w:lang w:bidi="ar"/>
        </w:rPr>
        <w:t>是根据企业电话调研得出。</w:t>
      </w:r>
    </w:p>
    <w:p w14:paraId="6779F60F">
      <w:pPr>
        <w:pStyle w:val="33"/>
        <w:spacing w:line="360" w:lineRule="auto"/>
        <w:ind w:firstLine="480"/>
        <w:rPr>
          <w:rFonts w:ascii="Times New Roman" w:hAnsi="Times New Roman"/>
          <w:sz w:val="21"/>
          <w:szCs w:val="24"/>
        </w:rPr>
      </w:pPr>
      <w:r>
        <w:rPr>
          <w:rFonts w:hint="eastAsia" w:ascii="Times New Roman" w:hAnsi="Times New Roman"/>
          <w:sz w:val="21"/>
          <w:szCs w:val="24"/>
        </w:rPr>
        <w:t>3）相关构筑物</w:t>
      </w:r>
    </w:p>
    <w:p w14:paraId="657D59CD">
      <w:pPr>
        <w:rPr>
          <w:rFonts w:ascii="Times New Roman" w:hAnsi="Times New Roman"/>
          <w:sz w:val="21"/>
          <w:lang w:bidi="ar"/>
        </w:rPr>
      </w:pPr>
      <w:r>
        <w:rPr>
          <w:rFonts w:hint="eastAsia" w:ascii="Times New Roman" w:hAnsi="Times New Roman"/>
          <w:sz w:val="21"/>
          <w:lang w:bidi="ar"/>
        </w:rPr>
        <w:t>据抽样调查，目前我国农资库货场、铁路站台的罩棚大多数采用轻钢结构型式。</w:t>
      </w:r>
    </w:p>
    <w:p w14:paraId="6598C332">
      <w:pPr>
        <w:pStyle w:val="33"/>
        <w:spacing w:line="360" w:lineRule="auto"/>
        <w:ind w:firstLine="482"/>
        <w:rPr>
          <w:rFonts w:ascii="Times New Roman" w:hAnsi="Times New Roman"/>
          <w:sz w:val="21"/>
          <w:szCs w:val="24"/>
        </w:rPr>
      </w:pPr>
      <w:r>
        <w:rPr>
          <w:rFonts w:ascii="Times New Roman" w:hAnsi="Times New Roman"/>
          <w:b/>
          <w:bCs/>
          <w:sz w:val="21"/>
          <w:szCs w:val="24"/>
        </w:rPr>
        <w:t>（</w:t>
      </w:r>
      <w:r>
        <w:rPr>
          <w:rFonts w:hint="eastAsia" w:ascii="Times New Roman" w:hAnsi="Times New Roman"/>
          <w:b/>
          <w:bCs/>
          <w:sz w:val="21"/>
          <w:szCs w:val="24"/>
          <w:lang w:val="en-US" w:eastAsia="zh-CN"/>
        </w:rPr>
        <w:t>6</w:t>
      </w:r>
      <w:r>
        <w:rPr>
          <w:rFonts w:ascii="Times New Roman" w:hAnsi="Times New Roman"/>
          <w:b/>
          <w:bCs/>
          <w:sz w:val="21"/>
          <w:szCs w:val="24"/>
        </w:rPr>
        <w:t>）</w:t>
      </w:r>
      <w:r>
        <w:rPr>
          <w:rFonts w:hint="eastAsia" w:ascii="Times New Roman" w:hAnsi="Times New Roman"/>
          <w:b/>
          <w:bCs/>
          <w:sz w:val="21"/>
          <w:szCs w:val="24"/>
          <w:lang w:eastAsia="zh-CN"/>
        </w:rPr>
        <w:t>辅助</w:t>
      </w:r>
      <w:r>
        <w:rPr>
          <w:rFonts w:ascii="Times New Roman" w:hAnsi="Times New Roman" w:cs="宋体"/>
          <w:b/>
          <w:bCs/>
          <w:sz w:val="21"/>
          <w:szCs w:val="24"/>
        </w:rPr>
        <w:t>设备要求</w:t>
      </w:r>
    </w:p>
    <w:p w14:paraId="50C358C3">
      <w:pPr>
        <w:rPr>
          <w:rFonts w:ascii="Times New Roman" w:hAnsi="Times New Roman"/>
          <w:sz w:val="21"/>
          <w:lang w:bidi="ar"/>
        </w:rPr>
      </w:pPr>
      <w:r>
        <w:rPr>
          <w:rFonts w:hint="eastAsia" w:ascii="Times New Roman" w:hAnsi="Times New Roman"/>
          <w:sz w:val="21"/>
          <w:lang w:bidi="ar"/>
        </w:rPr>
        <w:t>本部分内容包括作业设备、安全设备</w:t>
      </w:r>
      <w:r>
        <w:rPr>
          <w:rFonts w:hint="eastAsia" w:ascii="Times New Roman" w:hAnsi="Times New Roman"/>
          <w:sz w:val="21"/>
          <w:lang w:eastAsia="zh-CN" w:bidi="ar"/>
        </w:rPr>
        <w:t>、信息化设备</w:t>
      </w:r>
      <w:r>
        <w:rPr>
          <w:rFonts w:hint="eastAsia" w:ascii="Times New Roman" w:hAnsi="Times New Roman"/>
          <w:sz w:val="21"/>
          <w:lang w:bidi="ar"/>
        </w:rPr>
        <w:t>等</w:t>
      </w:r>
      <w:r>
        <w:rPr>
          <w:rFonts w:hint="eastAsia" w:ascii="Times New Roman" w:hAnsi="Times New Roman"/>
          <w:sz w:val="21"/>
          <w:lang w:eastAsia="zh-CN" w:bidi="ar"/>
        </w:rPr>
        <w:t>要求</w:t>
      </w:r>
      <w:r>
        <w:rPr>
          <w:rFonts w:hint="eastAsia" w:ascii="Times New Roman" w:hAnsi="Times New Roman"/>
          <w:sz w:val="21"/>
          <w:lang w:bidi="ar"/>
        </w:rPr>
        <w:t>内容。</w:t>
      </w:r>
    </w:p>
    <w:p w14:paraId="235FA9BE">
      <w:pPr>
        <w:rPr>
          <w:rFonts w:ascii="Times New Roman" w:hAnsi="Times New Roman"/>
          <w:sz w:val="21"/>
          <w:lang w:bidi="ar"/>
        </w:rPr>
      </w:pPr>
      <w:r>
        <w:rPr>
          <w:rFonts w:hint="eastAsia" w:ascii="Times New Roman" w:hAnsi="Times New Roman"/>
          <w:sz w:val="21"/>
          <w:lang w:bidi="ar"/>
        </w:rPr>
        <w:t>作业设备要求参考了《农业生产资料连锁经营网络配送中心建设与管理规范》（GH/T 1079）现行标准的相关要求，明确需要配备消防、防盗、防爆等设施设备，明确配备必要应急处理及救助设备，有利于提升农资储备库安全保障能力，确保储备农资安全运行。</w:t>
      </w:r>
    </w:p>
    <w:p w14:paraId="6A7C33B1">
      <w:pPr>
        <w:rPr>
          <w:rFonts w:ascii="Times New Roman" w:hAnsi="Times New Roman"/>
          <w:sz w:val="21"/>
          <w:lang w:bidi="ar"/>
        </w:rPr>
      </w:pPr>
      <w:r>
        <w:rPr>
          <w:rFonts w:hint="eastAsia" w:ascii="Times New Roman" w:hAnsi="Times New Roman"/>
          <w:sz w:val="21"/>
          <w:lang w:bidi="ar"/>
        </w:rPr>
        <w:t>安全设备按</w:t>
      </w:r>
      <w:r>
        <w:rPr>
          <w:rFonts w:ascii="Times New Roman" w:hAnsi="Times New Roman"/>
          <w:sz w:val="21"/>
          <w:lang w:bidi="ar"/>
        </w:rPr>
        <w:t>GB 50016</w:t>
      </w:r>
      <w:r>
        <w:rPr>
          <w:rFonts w:hint="eastAsia" w:ascii="Times New Roman" w:hAnsi="Times New Roman"/>
          <w:sz w:val="21"/>
          <w:lang w:bidi="ar"/>
        </w:rPr>
        <w:t>要求执行，同时根据农资仓库实际情况，需配备相应的应急处理及救助设备，在库区进出口宜设置门禁系统。</w:t>
      </w:r>
    </w:p>
    <w:p w14:paraId="2ABE4AB8">
      <w:pPr>
        <w:rPr>
          <w:rFonts w:ascii="Times New Roman" w:hAnsi="Times New Roman"/>
          <w:sz w:val="21"/>
          <w:lang w:bidi="ar"/>
        </w:rPr>
      </w:pPr>
      <w:r>
        <w:rPr>
          <w:rFonts w:hint="eastAsia" w:ascii="Times New Roman" w:hAnsi="Times New Roman"/>
          <w:sz w:val="21"/>
          <w:lang w:bidi="ar"/>
        </w:rPr>
        <w:t>信息化</w:t>
      </w:r>
      <w:r>
        <w:rPr>
          <w:rFonts w:hint="eastAsia" w:ascii="Times New Roman" w:hAnsi="Times New Roman"/>
          <w:sz w:val="21"/>
          <w:lang w:eastAsia="zh-CN" w:bidi="ar"/>
        </w:rPr>
        <w:t>设备方面</w:t>
      </w:r>
      <w:r>
        <w:rPr>
          <w:rFonts w:hint="eastAsia" w:ascii="Times New Roman" w:hAnsi="Times New Roman"/>
          <w:sz w:val="21"/>
          <w:lang w:bidi="ar"/>
        </w:rPr>
        <w:t>，信息化设备是推动农资仓储现代化转型、落实国家储备管理制度的技术前提。总社明确部署推进农资“流通数字化”，并要求建立相关数据管理制度与标准规范</w:t>
      </w:r>
      <w:r>
        <w:rPr>
          <w:rFonts w:hint="eastAsia" w:ascii="Times New Roman" w:hAnsi="Times New Roman"/>
          <w:sz w:val="21"/>
          <w:lang w:eastAsia="zh-CN" w:bidi="ar"/>
        </w:rPr>
        <w:t>。因此，为提高农资（储备）库管理效率，宜建立</w:t>
      </w:r>
      <w:r>
        <w:rPr>
          <w:rFonts w:hint="eastAsia" w:ascii="Times New Roman" w:hAnsi="Times New Roman"/>
          <w:sz w:val="21"/>
        </w:rPr>
        <w:t>能满足库区信息化需求的软硬件设施，</w:t>
      </w:r>
      <w:bookmarkStart w:id="2" w:name="_Hlk165712918"/>
      <w:r>
        <w:rPr>
          <w:rFonts w:hint="eastAsia" w:ascii="Times New Roman" w:hAnsi="Times New Roman"/>
          <w:sz w:val="21"/>
        </w:rPr>
        <w:t>配套建设信息化平台</w:t>
      </w:r>
      <w:bookmarkEnd w:id="2"/>
      <w:r>
        <w:rPr>
          <w:rFonts w:hint="eastAsia" w:ascii="Times New Roman" w:hAnsi="Times New Roman"/>
          <w:sz w:val="21"/>
          <w:lang w:eastAsia="zh-CN"/>
        </w:rPr>
        <w:t>，同时</w:t>
      </w:r>
      <w:r>
        <w:rPr>
          <w:rFonts w:hint="eastAsia" w:ascii="Times New Roman" w:hAnsi="Times New Roman"/>
          <w:sz w:val="21"/>
        </w:rPr>
        <w:t>设置满足</w:t>
      </w:r>
      <w:r>
        <w:rPr>
          <w:rFonts w:hint="eastAsia" w:ascii="Times New Roman" w:hAnsi="Times New Roman"/>
          <w:sz w:val="21"/>
          <w:lang w:eastAsia="zh-CN"/>
        </w:rPr>
        <w:t>自身及主管部门管理</w:t>
      </w:r>
      <w:r>
        <w:rPr>
          <w:rFonts w:hint="eastAsia" w:ascii="Times New Roman" w:hAnsi="Times New Roman"/>
          <w:sz w:val="21"/>
        </w:rPr>
        <w:t>需要的视频监控系统</w:t>
      </w:r>
      <w:r>
        <w:rPr>
          <w:rFonts w:hint="eastAsia" w:ascii="Times New Roman" w:hAnsi="Times New Roman"/>
          <w:sz w:val="21"/>
          <w:lang w:bidi="ar"/>
        </w:rPr>
        <w:t>。</w:t>
      </w:r>
    </w:p>
    <w:p w14:paraId="41AAF92E">
      <w:pPr>
        <w:pStyle w:val="33"/>
        <w:spacing w:line="360" w:lineRule="auto"/>
        <w:ind w:firstLine="482"/>
        <w:rPr>
          <w:rFonts w:ascii="Times New Roman" w:hAnsi="Times New Roman" w:cs="宋体"/>
          <w:b/>
          <w:bCs/>
          <w:sz w:val="21"/>
          <w:szCs w:val="24"/>
        </w:rPr>
      </w:pPr>
      <w:r>
        <w:rPr>
          <w:rFonts w:hint="eastAsia" w:ascii="Times New Roman" w:hAnsi="Times New Roman" w:cs="宋体"/>
          <w:b/>
          <w:bCs/>
          <w:sz w:val="21"/>
          <w:szCs w:val="24"/>
        </w:rPr>
        <w:t>（7）环保要求</w:t>
      </w:r>
    </w:p>
    <w:p w14:paraId="17AAD648">
      <w:pPr>
        <w:rPr>
          <w:rFonts w:ascii="Times New Roman" w:hAnsi="Times New Roman"/>
          <w:sz w:val="21"/>
          <w:lang w:bidi="ar"/>
        </w:rPr>
      </w:pPr>
      <w:r>
        <w:rPr>
          <w:rFonts w:hint="eastAsia" w:ascii="Times New Roman" w:hAnsi="Times New Roman"/>
          <w:sz w:val="21"/>
          <w:lang w:bidi="ar"/>
        </w:rPr>
        <w:t>结合本标准第5章基本要求内容，为了达到节约资源、保护环境、减少污染等要求，本标准在执行当地绿色环保要求基础上，参照《绿色仓库要求与评价》（</w:t>
      </w:r>
      <w:r>
        <w:rPr>
          <w:rFonts w:ascii="Times New Roman" w:hAnsi="Times New Roman"/>
          <w:sz w:val="21"/>
          <w:lang w:bidi="ar"/>
        </w:rPr>
        <w:t>SB/T 11164</w:t>
      </w:r>
      <w:r>
        <w:rPr>
          <w:rFonts w:hint="eastAsia" w:ascii="Times New Roman" w:hAnsi="Times New Roman"/>
          <w:sz w:val="21"/>
          <w:lang w:bidi="ar"/>
        </w:rPr>
        <w:t>）相关要求执行，包括节地与土地利用、节能与能源利用、节水与水资源利用、节材与材料资源利用、环境等内容。</w:t>
      </w:r>
    </w:p>
    <w:p w14:paraId="5A7D6121">
      <w:pPr>
        <w:pStyle w:val="33"/>
        <w:spacing w:line="360" w:lineRule="auto"/>
        <w:ind w:firstLine="482"/>
        <w:rPr>
          <w:rFonts w:ascii="Times New Roman" w:hAnsi="Times New Roman"/>
          <w:b/>
          <w:bCs/>
          <w:sz w:val="21"/>
          <w:szCs w:val="24"/>
        </w:rPr>
      </w:pPr>
      <w:r>
        <w:rPr>
          <w:rFonts w:hint="eastAsia" w:ascii="Times New Roman"/>
          <w:b/>
          <w:bCs/>
          <w:sz w:val="21"/>
          <w:szCs w:val="24"/>
          <w:lang w:val="en-US" w:eastAsia="zh-CN"/>
        </w:rPr>
        <w:t>6.</w:t>
      </w:r>
      <w:r>
        <w:rPr>
          <w:rFonts w:hint="eastAsia" w:ascii="Times New Roman" w:hAnsi="Times New Roman"/>
          <w:b/>
          <w:bCs/>
          <w:sz w:val="21"/>
          <w:szCs w:val="24"/>
        </w:rPr>
        <w:t>管理要求</w:t>
      </w:r>
    </w:p>
    <w:p w14:paraId="328B843E">
      <w:pPr>
        <w:rPr>
          <w:rFonts w:ascii="Times New Roman" w:hAnsi="Times New Roman"/>
          <w:sz w:val="21"/>
          <w:lang w:bidi="ar"/>
        </w:rPr>
      </w:pPr>
      <w:r>
        <w:rPr>
          <w:rFonts w:hint="eastAsia" w:ascii="Times New Roman" w:hAnsi="Times New Roman"/>
          <w:sz w:val="21"/>
          <w:lang w:bidi="ar"/>
        </w:rPr>
        <w:t>为推动农资（储备）库货物管理规范化，</w:t>
      </w:r>
      <w:r>
        <w:rPr>
          <w:rFonts w:hint="eastAsia" w:ascii="Times New Roman" w:hAnsi="Times New Roman"/>
          <w:sz w:val="21"/>
          <w:lang w:eastAsia="zh-CN" w:bidi="ar"/>
        </w:rPr>
        <w:t>保障农资质量，</w:t>
      </w:r>
      <w:r>
        <w:rPr>
          <w:rFonts w:hint="eastAsia" w:ascii="Times New Roman" w:hAnsi="Times New Roman"/>
          <w:sz w:val="21"/>
          <w:lang w:bidi="ar"/>
        </w:rPr>
        <w:t>避免出现</w:t>
      </w:r>
      <w:r>
        <w:rPr>
          <w:rFonts w:hint="eastAsia" w:ascii="Times New Roman" w:hAnsi="Times New Roman"/>
          <w:sz w:val="21"/>
          <w:lang w:eastAsia="zh-CN" w:bidi="ar"/>
        </w:rPr>
        <w:t>（</w:t>
      </w:r>
      <w:r>
        <w:rPr>
          <w:rFonts w:hint="eastAsia" w:ascii="Times New Roman" w:hAnsi="Times New Roman"/>
          <w:sz w:val="21"/>
          <w:lang w:bidi="ar"/>
        </w:rPr>
        <w:t>储备</w:t>
      </w:r>
      <w:r>
        <w:rPr>
          <w:rFonts w:hint="eastAsia" w:ascii="Times New Roman" w:hAnsi="Times New Roman"/>
          <w:sz w:val="21"/>
          <w:lang w:eastAsia="zh-CN" w:bidi="ar"/>
        </w:rPr>
        <w:t>）</w:t>
      </w:r>
      <w:r>
        <w:rPr>
          <w:rFonts w:hint="eastAsia" w:ascii="Times New Roman" w:hAnsi="Times New Roman"/>
          <w:sz w:val="21"/>
          <w:lang w:bidi="ar"/>
        </w:rPr>
        <w:t>农资货物的损失、过期等问题，本标准参照了《农业生产资料供应服务</w:t>
      </w:r>
      <w:r>
        <w:rPr>
          <w:rFonts w:ascii="Times New Roman" w:hAnsi="Times New Roman"/>
          <w:sz w:val="21"/>
          <w:lang w:bidi="ar"/>
        </w:rPr>
        <w:t xml:space="preserve"> </w:t>
      </w:r>
      <w:r>
        <w:rPr>
          <w:rFonts w:hint="eastAsia" w:ascii="Times New Roman" w:hAnsi="Times New Roman"/>
          <w:sz w:val="21"/>
          <w:lang w:bidi="ar"/>
        </w:rPr>
        <w:t>农资仓储服务规范》（GB/T 37070）中的仓储服务要求，确定了农资（储备）库的管理内容，包括制度要求、合同签订、作业准备、初步检查、入库验收、装卸堆码、在库管理、出库作业、信息服务、风险控制、人员要求等。其中，合同签订、作业准备、初步查验、入库验收、装卸堆码按GB/T 37070中5.3、5.4、5.5、5.6、5.7的要求执行。</w:t>
      </w:r>
    </w:p>
    <w:p w14:paraId="31A7E39F">
      <w:pPr>
        <w:rPr>
          <w:rFonts w:ascii="Times New Roman" w:hAnsi="Times New Roman"/>
          <w:sz w:val="21"/>
          <w:lang w:bidi="ar"/>
        </w:rPr>
      </w:pPr>
      <w:r>
        <w:rPr>
          <w:rFonts w:hint="eastAsia" w:ascii="Times New Roman" w:hAnsi="Times New Roman"/>
          <w:sz w:val="21"/>
          <w:lang w:bidi="ar"/>
        </w:rPr>
        <w:t>制度要求、在库管理、出库作业、信息服务、风险控制、人员要求等管理要求按本标准执行，与GB/T 37070存在不同。</w:t>
      </w:r>
    </w:p>
    <w:p w14:paraId="68FECA09">
      <w:pPr>
        <w:rPr>
          <w:rFonts w:ascii="Times New Roman" w:hAnsi="Times New Roman"/>
          <w:sz w:val="21"/>
          <w:lang w:bidi="ar"/>
        </w:rPr>
      </w:pPr>
      <w:r>
        <w:rPr>
          <w:rFonts w:hint="eastAsia" w:ascii="Times New Roman" w:hAnsi="Times New Roman"/>
          <w:sz w:val="21"/>
          <w:lang w:bidi="ar"/>
        </w:rPr>
        <w:t>该部分内容是农资（储备）库管理工作的重要组成部分，可以提高农资（储备）库货物运转效率、减少库存损耗、降低管理成本</w:t>
      </w:r>
      <w:r>
        <w:rPr>
          <w:rFonts w:hint="eastAsia" w:ascii="Times New Roman" w:hAnsi="Times New Roman"/>
          <w:sz w:val="21"/>
          <w:lang w:eastAsia="zh-CN" w:bidi="ar"/>
        </w:rPr>
        <w:t>，实现农资仓储降本增效</w:t>
      </w:r>
      <w:r>
        <w:rPr>
          <w:rFonts w:hint="eastAsia" w:ascii="Times New Roman" w:hAnsi="Times New Roman"/>
          <w:sz w:val="21"/>
          <w:lang w:bidi="ar"/>
        </w:rPr>
        <w:t>。</w:t>
      </w:r>
    </w:p>
    <w:p w14:paraId="7B4985D5">
      <w:pPr>
        <w:pStyle w:val="27"/>
        <w:numPr>
          <w:ilvl w:val="0"/>
          <w:numId w:val="12"/>
        </w:numPr>
        <w:ind w:firstLineChars="0"/>
        <w:rPr>
          <w:rFonts w:ascii="Times New Roman" w:hAnsi="Times New Roman"/>
          <w:b/>
          <w:bCs/>
          <w:sz w:val="21"/>
        </w:rPr>
      </w:pPr>
      <w:r>
        <w:rPr>
          <w:rFonts w:hint="eastAsia" w:ascii="Times New Roman" w:hAnsi="Times New Roman"/>
          <w:b/>
          <w:bCs/>
          <w:sz w:val="21"/>
        </w:rPr>
        <w:t>预期的社会经济效益</w:t>
      </w:r>
    </w:p>
    <w:p w14:paraId="75BA2911">
      <w:pPr>
        <w:rPr>
          <w:rFonts w:ascii="Times New Roman" w:hAnsi="Times New Roman"/>
          <w:sz w:val="21"/>
          <w:lang w:bidi="ar"/>
        </w:rPr>
      </w:pPr>
      <w:r>
        <w:rPr>
          <w:rFonts w:hint="eastAsia" w:ascii="Times New Roman" w:hAnsi="Times New Roman"/>
          <w:sz w:val="21"/>
          <w:lang w:bidi="ar"/>
        </w:rPr>
        <w:t>本标准预期达到的社会经济效益包括：</w:t>
      </w:r>
    </w:p>
    <w:p w14:paraId="79FD62A7">
      <w:pPr>
        <w:rPr>
          <w:rFonts w:ascii="Times New Roman" w:hAnsi="Times New Roman"/>
          <w:sz w:val="21"/>
          <w:lang w:bidi="ar"/>
        </w:rPr>
      </w:pPr>
      <w:r>
        <w:rPr>
          <w:rFonts w:hint="eastAsia" w:ascii="Times New Roman" w:hAnsi="Times New Roman"/>
          <w:sz w:val="21"/>
          <w:lang w:bidi="ar"/>
        </w:rPr>
        <w:t>一方面，填补我国农资（储备）库建设与管理规范的标准空白。本标准在借鉴《粮食仓库建设标准》（建标172—2016）以及《农业生产资料连锁经营网络配送中心建设与管理规范》（GH/T 1079）、《农业生产资料供应服务 农资仓储服务规范》（GB/T 37070）</w:t>
      </w:r>
      <w:r>
        <w:rPr>
          <w:rFonts w:hint="eastAsia" w:ascii="Times New Roman" w:hAnsi="Times New Roman"/>
          <w:sz w:val="21"/>
          <w:lang w:eastAsia="zh-CN" w:bidi="ar"/>
        </w:rPr>
        <w:t>、</w:t>
      </w:r>
      <w:r>
        <w:rPr>
          <w:rFonts w:hint="eastAsia" w:ascii="Times New Roman" w:hAnsi="Times New Roman" w:cs="Times New Roman"/>
          <w:sz w:val="21"/>
          <w:lang w:val="en-US" w:eastAsia="zh-CN" w:bidi="ar"/>
        </w:rPr>
        <w:t>《国家战略性农资（储备）库建设与管理规范》（T/CAMPA004-2024）</w:t>
      </w:r>
      <w:r>
        <w:rPr>
          <w:rFonts w:hint="eastAsia" w:ascii="Times New Roman" w:hAnsi="Times New Roman"/>
          <w:sz w:val="21"/>
          <w:lang w:bidi="ar"/>
        </w:rPr>
        <w:t>等标准内容的基础上，结合当前农资（储备）库建设现状和企业应用管理的实际流程，对农资（储备）库的建设要求、管理要求等内容进行规范。本</w:t>
      </w:r>
      <w:r>
        <w:rPr>
          <w:rFonts w:hint="eastAsia" w:ascii="Times New Roman" w:hAnsi="Times New Roman"/>
          <w:sz w:val="21"/>
          <w:lang w:eastAsia="zh-CN" w:bidi="ar"/>
        </w:rPr>
        <w:t>供销合作行业标准</w:t>
      </w:r>
      <w:r>
        <w:rPr>
          <w:rFonts w:hint="eastAsia" w:ascii="Times New Roman" w:hAnsi="Times New Roman"/>
          <w:sz w:val="21"/>
          <w:lang w:bidi="ar"/>
        </w:rPr>
        <w:t>的发布，为农资企业开展农资（储备）库的建设与管理提供参照规范</w:t>
      </w:r>
      <w:r>
        <w:rPr>
          <w:rFonts w:hint="eastAsia" w:ascii="Times New Roman" w:hAnsi="Times New Roman"/>
          <w:sz w:val="21"/>
          <w:lang w:eastAsia="zh-CN" w:bidi="ar"/>
        </w:rPr>
        <w:t>，</w:t>
      </w:r>
      <w:r>
        <w:rPr>
          <w:rFonts w:hint="eastAsia" w:ascii="Times New Roman" w:hAnsi="Times New Roman"/>
          <w:sz w:val="21"/>
          <w:lang w:bidi="ar"/>
        </w:rPr>
        <w:t>促进农资行业的</w:t>
      </w:r>
      <w:r>
        <w:rPr>
          <w:rFonts w:hint="eastAsia" w:ascii="Times New Roman" w:hAnsi="Times New Roman"/>
          <w:sz w:val="21"/>
          <w:lang w:eastAsia="zh-CN" w:bidi="ar"/>
        </w:rPr>
        <w:t>高质量发展</w:t>
      </w:r>
      <w:r>
        <w:rPr>
          <w:rFonts w:hint="eastAsia" w:ascii="Times New Roman" w:hAnsi="Times New Roman"/>
          <w:sz w:val="21"/>
          <w:lang w:bidi="ar"/>
        </w:rPr>
        <w:t>，更好服务保障国家粮食安全和重要农产品稳定安全供给。</w:t>
      </w:r>
    </w:p>
    <w:p w14:paraId="0717D7BF">
      <w:pPr>
        <w:pStyle w:val="27"/>
        <w:numPr>
          <w:ilvl w:val="0"/>
          <w:numId w:val="12"/>
        </w:numPr>
        <w:ind w:firstLineChars="0"/>
        <w:rPr>
          <w:rFonts w:ascii="Times New Roman" w:hAnsi="Times New Roman"/>
          <w:b/>
          <w:bCs/>
          <w:sz w:val="21"/>
        </w:rPr>
      </w:pPr>
      <w:r>
        <w:rPr>
          <w:rFonts w:hint="eastAsia" w:ascii="Times New Roman" w:hAnsi="Times New Roman"/>
          <w:b/>
          <w:bCs/>
          <w:sz w:val="21"/>
        </w:rPr>
        <w:t>采用国际标准和国外先进标准的程度</w:t>
      </w:r>
    </w:p>
    <w:p w14:paraId="7D2EC9E3">
      <w:pPr>
        <w:rPr>
          <w:rFonts w:ascii="Times New Roman" w:hAnsi="Times New Roman"/>
          <w:sz w:val="21"/>
          <w:lang w:bidi="ar"/>
        </w:rPr>
      </w:pPr>
      <w:r>
        <w:rPr>
          <w:rFonts w:hint="eastAsia" w:ascii="Times New Roman" w:hAnsi="Times New Roman"/>
          <w:sz w:val="21"/>
          <w:lang w:bidi="ar"/>
        </w:rPr>
        <w:t>本标准不涉及与国外标准技术内容的对比，也不涉及对现有国际标准和国外先进标准的采用。</w:t>
      </w:r>
    </w:p>
    <w:p w14:paraId="267CC3F1">
      <w:pPr>
        <w:pStyle w:val="27"/>
        <w:numPr>
          <w:ilvl w:val="0"/>
          <w:numId w:val="12"/>
        </w:numPr>
        <w:ind w:firstLineChars="0"/>
        <w:rPr>
          <w:rFonts w:ascii="Times New Roman" w:hAnsi="Times New Roman"/>
          <w:b/>
          <w:bCs/>
          <w:sz w:val="21"/>
        </w:rPr>
      </w:pPr>
      <w:r>
        <w:rPr>
          <w:rFonts w:hint="eastAsia" w:ascii="Times New Roman" w:hAnsi="Times New Roman"/>
          <w:b/>
          <w:bCs/>
          <w:sz w:val="21"/>
        </w:rPr>
        <w:t>与有关的现行法律、法规和强制性国家标准的关系</w:t>
      </w:r>
    </w:p>
    <w:p w14:paraId="31A3B1D5">
      <w:pPr>
        <w:rPr>
          <w:rFonts w:ascii="Times New Roman" w:hAnsi="Times New Roman"/>
          <w:sz w:val="21"/>
          <w:lang w:bidi="ar"/>
        </w:rPr>
      </w:pPr>
      <w:r>
        <w:rPr>
          <w:rFonts w:hint="eastAsia" w:ascii="Times New Roman" w:hAnsi="Times New Roman"/>
          <w:sz w:val="21"/>
          <w:lang w:bidi="ar"/>
        </w:rPr>
        <w:t>本标准的编制符合相关国家法律、法规的规定和强制性标准的要求。</w:t>
      </w:r>
    </w:p>
    <w:p w14:paraId="175B5472">
      <w:pPr>
        <w:pStyle w:val="27"/>
        <w:numPr>
          <w:ilvl w:val="0"/>
          <w:numId w:val="12"/>
        </w:numPr>
        <w:ind w:firstLineChars="0"/>
        <w:rPr>
          <w:rFonts w:ascii="Times New Roman" w:hAnsi="Times New Roman"/>
          <w:b/>
          <w:bCs/>
          <w:sz w:val="21"/>
        </w:rPr>
      </w:pPr>
      <w:r>
        <w:rPr>
          <w:rFonts w:hint="eastAsia" w:ascii="Times New Roman" w:hAnsi="Times New Roman"/>
          <w:b/>
          <w:bCs/>
          <w:sz w:val="21"/>
        </w:rPr>
        <w:t>重大分歧意见的处理经过和依据</w:t>
      </w:r>
    </w:p>
    <w:p w14:paraId="2C32B553">
      <w:pPr>
        <w:rPr>
          <w:rFonts w:ascii="Times New Roman" w:hAnsi="Times New Roman"/>
          <w:sz w:val="21"/>
          <w:lang w:bidi="ar"/>
        </w:rPr>
      </w:pPr>
      <w:r>
        <w:rPr>
          <w:rFonts w:hint="eastAsia" w:ascii="Times New Roman" w:hAnsi="Times New Roman"/>
          <w:sz w:val="21"/>
          <w:lang w:bidi="ar"/>
        </w:rPr>
        <w:t>本标准在制定过程中未出现重大分歧意见。</w:t>
      </w:r>
    </w:p>
    <w:p w14:paraId="1F726A96">
      <w:pPr>
        <w:pStyle w:val="27"/>
        <w:numPr>
          <w:ilvl w:val="0"/>
          <w:numId w:val="12"/>
        </w:numPr>
        <w:ind w:firstLineChars="0"/>
        <w:rPr>
          <w:rFonts w:ascii="Times New Roman" w:hAnsi="Times New Roman"/>
          <w:b/>
          <w:bCs/>
          <w:sz w:val="21"/>
        </w:rPr>
      </w:pPr>
      <w:r>
        <w:rPr>
          <w:rFonts w:hint="eastAsia" w:ascii="Times New Roman" w:hAnsi="Times New Roman"/>
          <w:b/>
          <w:bCs/>
          <w:sz w:val="21"/>
        </w:rPr>
        <w:t>作为强制性标准或推荐性标准的建议</w:t>
      </w:r>
    </w:p>
    <w:p w14:paraId="3490BD69">
      <w:pPr>
        <w:rPr>
          <w:rFonts w:hint="eastAsia" w:ascii="Times New Roman" w:hAnsi="Times New Roman"/>
          <w:sz w:val="21"/>
          <w:lang w:bidi="ar"/>
        </w:rPr>
      </w:pPr>
      <w:r>
        <w:rPr>
          <w:rFonts w:hint="eastAsia" w:ascii="Times New Roman" w:hAnsi="Times New Roman"/>
          <w:sz w:val="21"/>
          <w:lang w:bidi="ar"/>
        </w:rPr>
        <w:t>本标准对农资（储备）库的建设与管理具有重要指导作用，建议作为推荐性标准。</w:t>
      </w:r>
      <w:r>
        <w:rPr>
          <w:rFonts w:hint="eastAsia" w:cs="Times New Roman"/>
          <w:sz w:val="21"/>
          <w:szCs w:val="24"/>
          <w:lang w:bidi="ar"/>
        </w:rPr>
        <w:t>本标准发布后，建议立即实施并做好标准的宣贯与培训工作，及时向农资行业相关企业进行宣传推广，促进标准的落地实施。</w:t>
      </w:r>
    </w:p>
    <w:p w14:paraId="2065E856">
      <w:pPr>
        <w:pStyle w:val="27"/>
        <w:numPr>
          <w:ilvl w:val="0"/>
          <w:numId w:val="12"/>
        </w:numPr>
        <w:ind w:firstLineChars="0"/>
        <w:rPr>
          <w:rFonts w:ascii="Times New Roman" w:hAnsi="Times New Roman"/>
          <w:b/>
          <w:bCs/>
          <w:sz w:val="21"/>
        </w:rPr>
      </w:pPr>
      <w:r>
        <w:rPr>
          <w:rFonts w:hint="eastAsia" w:ascii="Times New Roman" w:hAnsi="Times New Roman"/>
          <w:b/>
          <w:bCs/>
          <w:sz w:val="21"/>
        </w:rPr>
        <w:t>贯彻</w:t>
      </w:r>
      <w:r>
        <w:rPr>
          <w:rFonts w:hint="eastAsia" w:ascii="Times New Roman" w:hAnsi="Times New Roman"/>
          <w:b/>
          <w:bCs/>
          <w:sz w:val="21"/>
          <w:lang w:eastAsia="zh-CN"/>
        </w:rPr>
        <w:t>供销合作行业标准</w:t>
      </w:r>
      <w:r>
        <w:rPr>
          <w:rFonts w:hint="eastAsia" w:ascii="Times New Roman" w:hAnsi="Times New Roman"/>
          <w:b/>
          <w:bCs/>
          <w:sz w:val="21"/>
        </w:rPr>
        <w:t>的要求和措施建议</w:t>
      </w:r>
    </w:p>
    <w:p w14:paraId="2FCF1D99">
      <w:pPr>
        <w:outlineLvl w:val="0"/>
        <w:rPr>
          <w:rFonts w:ascii="Times New Roman" w:hAnsi="Times New Roman"/>
          <w:sz w:val="21"/>
        </w:rPr>
      </w:pPr>
      <w:r>
        <w:rPr>
          <w:rFonts w:hint="eastAsia" w:ascii="Times New Roman" w:hAnsi="Times New Roman"/>
          <w:sz w:val="21"/>
        </w:rPr>
        <w:t>标准批准发布该标准，以填补农资行业农资（储备）库建设与管理规范标准的空白，指导行业组织开展农资（储备）库建设与管理工作，提升我国农资行业农资（储备）库建设与管理的整体水平，从而更好地服务国家粮食安全和重要农产品供给。</w:t>
      </w:r>
    </w:p>
    <w:p w14:paraId="458FC012">
      <w:pPr>
        <w:pStyle w:val="27"/>
        <w:numPr>
          <w:ilvl w:val="0"/>
          <w:numId w:val="12"/>
        </w:numPr>
        <w:ind w:firstLineChars="0"/>
        <w:rPr>
          <w:rFonts w:ascii="Times New Roman" w:hAnsi="Times New Roman"/>
          <w:b/>
          <w:bCs/>
          <w:sz w:val="21"/>
        </w:rPr>
      </w:pPr>
      <w:r>
        <w:rPr>
          <w:rFonts w:hint="eastAsia" w:ascii="Times New Roman" w:hAnsi="Times New Roman"/>
          <w:b/>
          <w:bCs/>
          <w:sz w:val="21"/>
        </w:rPr>
        <w:t>废止现行有关标准的建议</w:t>
      </w:r>
    </w:p>
    <w:p w14:paraId="7E2BE954">
      <w:pPr>
        <w:rPr>
          <w:rFonts w:ascii="Times New Roman" w:hAnsi="Times New Roman"/>
          <w:sz w:val="21"/>
          <w:lang w:bidi="ar"/>
        </w:rPr>
      </w:pPr>
      <w:r>
        <w:rPr>
          <w:rFonts w:hint="eastAsia" w:ascii="Times New Roman" w:hAnsi="Times New Roman"/>
          <w:sz w:val="21"/>
          <w:lang w:bidi="ar"/>
        </w:rPr>
        <w:t>本标准不涉及对现行标准的废止。</w:t>
      </w:r>
    </w:p>
    <w:p w14:paraId="51BB3653">
      <w:pPr>
        <w:pStyle w:val="27"/>
        <w:numPr>
          <w:ilvl w:val="0"/>
          <w:numId w:val="12"/>
        </w:numPr>
        <w:ind w:firstLineChars="0"/>
        <w:rPr>
          <w:rFonts w:ascii="Times New Roman" w:hAnsi="Times New Roman"/>
          <w:b/>
          <w:bCs/>
          <w:sz w:val="21"/>
        </w:rPr>
      </w:pPr>
      <w:r>
        <w:rPr>
          <w:rFonts w:hint="eastAsia" w:ascii="Times New Roman" w:hAnsi="Times New Roman"/>
          <w:b/>
          <w:bCs/>
          <w:sz w:val="21"/>
        </w:rPr>
        <w:t>其他说明</w:t>
      </w:r>
    </w:p>
    <w:p w14:paraId="4E3557DB">
      <w:pPr>
        <w:rPr>
          <w:rFonts w:ascii="Times New Roman" w:hAnsi="Times New Roman"/>
          <w:sz w:val="21"/>
          <w:lang w:bidi="ar"/>
        </w:rPr>
      </w:pPr>
      <w:r>
        <w:rPr>
          <w:rFonts w:hint="eastAsia" w:ascii="Times New Roman" w:hAnsi="Times New Roman"/>
          <w:sz w:val="21"/>
          <w:lang w:bidi="ar"/>
        </w:rPr>
        <w:t>无其他说明</w:t>
      </w:r>
    </w:p>
    <w:p w14:paraId="3430AC98">
      <w:pPr>
        <w:rPr>
          <w:rFonts w:ascii="Times New Roman" w:hAnsi="Times New Roman"/>
          <w:sz w:val="21"/>
        </w:rPr>
      </w:pPr>
    </w:p>
    <w:p w14:paraId="575DFBA1">
      <w:pPr>
        <w:jc w:val="right"/>
        <w:rPr>
          <w:rFonts w:ascii="Times New Roman" w:hAnsi="Times New Roman"/>
          <w:sz w:val="21"/>
          <w:lang w:bidi="ar"/>
        </w:rPr>
      </w:pPr>
      <w:r>
        <w:rPr>
          <w:rFonts w:hint="eastAsia" w:ascii="Times New Roman" w:hAnsi="Times New Roman"/>
          <w:sz w:val="21"/>
          <w:lang w:bidi="ar"/>
        </w:rPr>
        <w:t>《</w:t>
      </w:r>
      <w:r>
        <w:rPr>
          <w:rFonts w:hint="eastAsia" w:ascii="Times New Roman" w:hAnsi="Times New Roman"/>
          <w:sz w:val="21"/>
          <w:lang w:eastAsia="zh-CN" w:bidi="ar"/>
        </w:rPr>
        <w:t>农资（储备）库建设与管理规范</w:t>
      </w:r>
      <w:r>
        <w:rPr>
          <w:rFonts w:hint="eastAsia" w:ascii="Times New Roman" w:hAnsi="Times New Roman"/>
          <w:sz w:val="21"/>
          <w:lang w:bidi="ar"/>
        </w:rPr>
        <w:t>》</w:t>
      </w:r>
    </w:p>
    <w:p w14:paraId="770FC224">
      <w:pPr>
        <w:jc w:val="right"/>
        <w:rPr>
          <w:rFonts w:ascii="Times New Roman" w:hAnsi="Times New Roman"/>
          <w:sz w:val="21"/>
          <w:lang w:bidi="ar"/>
        </w:rPr>
      </w:pPr>
      <w:bookmarkStart w:id="3" w:name="_GoBack"/>
      <w:bookmarkEnd w:id="3"/>
      <w:r>
        <w:rPr>
          <w:rFonts w:hint="eastAsia" w:ascii="Times New Roman" w:hAnsi="Times New Roman"/>
          <w:sz w:val="21"/>
          <w:lang w:eastAsia="zh-CN" w:bidi="ar"/>
        </w:rPr>
        <w:t>供销合作行业标准</w:t>
      </w:r>
      <w:r>
        <w:rPr>
          <w:rFonts w:hint="eastAsia" w:ascii="Times New Roman" w:hAnsi="Times New Roman"/>
          <w:sz w:val="21"/>
          <w:lang w:bidi="ar"/>
        </w:rPr>
        <w:t>编制工作组</w:t>
      </w:r>
    </w:p>
    <w:p w14:paraId="72FE1F3C">
      <w:pPr>
        <w:jc w:val="right"/>
        <w:rPr>
          <w:rFonts w:ascii="Times New Roman" w:hAnsi="Times New Roman" w:eastAsia="黑体"/>
          <w:b/>
          <w:sz w:val="21"/>
        </w:rPr>
      </w:pPr>
      <w:r>
        <w:rPr>
          <w:rFonts w:hint="eastAsia" w:ascii="Times New Roman" w:hAnsi="Times New Roman"/>
          <w:sz w:val="21"/>
          <w:lang w:bidi="ar"/>
        </w:rPr>
        <w:t>202</w:t>
      </w:r>
      <w:r>
        <w:rPr>
          <w:rFonts w:hint="eastAsia" w:ascii="Times New Roman" w:hAnsi="Times New Roman"/>
          <w:sz w:val="21"/>
          <w:lang w:val="en-US" w:eastAsia="zh-CN" w:bidi="ar"/>
        </w:rPr>
        <w:t>6</w:t>
      </w:r>
      <w:r>
        <w:rPr>
          <w:rFonts w:hint="eastAsia" w:ascii="Times New Roman" w:hAnsi="Times New Roman"/>
          <w:sz w:val="21"/>
          <w:lang w:bidi="ar"/>
        </w:rPr>
        <w:t>年</w:t>
      </w:r>
      <w:r>
        <w:rPr>
          <w:rFonts w:hint="eastAsia" w:ascii="Times New Roman" w:hAnsi="Times New Roman"/>
          <w:sz w:val="21"/>
          <w:lang w:val="en-US" w:eastAsia="zh-CN" w:bidi="ar"/>
        </w:rPr>
        <w:t>4</w:t>
      </w:r>
      <w:r>
        <w:rPr>
          <w:rFonts w:hint="eastAsia" w:ascii="Times New Roman" w:hAnsi="Times New Roman"/>
          <w:sz w:val="21"/>
          <w:lang w:bidi="ar"/>
        </w:rPr>
        <w:t>月</w:t>
      </w:r>
    </w:p>
    <w:sectPr>
      <w:footerReference r:id="rId6" w:type="default"/>
      <w:pgSz w:w="11906" w:h="16838"/>
      <w:pgMar w:top="1134" w:right="1701" w:bottom="1134" w:left="1701" w:header="851" w:footer="85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E5146">
    <w:pPr>
      <w:pStyle w:val="9"/>
      <w:ind w:firstLine="360"/>
      <w:rPr>
        <w:rStyle w:val="16"/>
      </w:rPr>
    </w:pPr>
    <w:r>
      <w:rPr>
        <w:rStyle w:val="16"/>
      </w:rPr>
      <w:fldChar w:fldCharType="begin"/>
    </w:r>
    <w:r>
      <w:rPr>
        <w:rStyle w:val="16"/>
      </w:rPr>
      <w:instrText xml:space="preserve">PAGE  </w:instrText>
    </w:r>
    <w:r>
      <w:rPr>
        <w:rStyle w:val="16"/>
      </w:rPr>
      <w:fldChar w:fldCharType="separate"/>
    </w:r>
    <w:r>
      <w:rPr>
        <w:rStyle w:val="16"/>
      </w:rPr>
      <w:t>0</w:t>
    </w:r>
    <w:r>
      <w:rPr>
        <w:rStyle w:val="16"/>
      </w:rPr>
      <w:fldChar w:fldCharType="end"/>
    </w:r>
  </w:p>
  <w:p w14:paraId="50333FF9">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E3DBF">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55751">
                          <w:pPr>
                            <w:pStyle w:val="9"/>
                            <w:ind w:firstLine="360"/>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855751">
                    <w:pPr>
                      <w:pStyle w:val="9"/>
                      <w:ind w:firstLine="360"/>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BE41F"/>
    <w:multiLevelType w:val="singleLevel"/>
    <w:tmpl w:val="81FBE41F"/>
    <w:lvl w:ilvl="0" w:tentative="0">
      <w:start w:val="6"/>
      <w:numFmt w:val="chineseCounting"/>
      <w:suff w:val="nothing"/>
      <w:lvlText w:val="%1、"/>
      <w:lvlJc w:val="left"/>
      <w:rPr>
        <w:rFonts w:hint="eastAsia"/>
      </w:rPr>
    </w:lvl>
  </w:abstractNum>
  <w:abstractNum w:abstractNumId="1">
    <w:nsid w:val="A3A56E53"/>
    <w:multiLevelType w:val="multilevel"/>
    <w:tmpl w:val="A3A56E53"/>
    <w:lvl w:ilvl="0" w:tentative="0">
      <w:start w:val="1"/>
      <w:numFmt w:val="none"/>
      <w:suff w:val="nothing"/>
      <w:lvlText w:val="%1"/>
      <w:lvlJc w:val="left"/>
      <w:pPr>
        <w:ind w:left="0" w:firstLine="0"/>
      </w:pPr>
    </w:lvl>
    <w:lvl w:ilvl="1" w:tentative="0">
      <w:start w:val="1"/>
      <w:numFmt w:val="decimal"/>
      <w:suff w:val="nothing"/>
      <w:lvlText w:val="%1%2　"/>
      <w:lvlJc w:val="left"/>
      <w:pPr>
        <w:ind w:left="0" w:firstLine="0"/>
      </w:pPr>
      <w:rPr>
        <w:rFonts w:hint="eastAsia" w:ascii="黑体" w:hAnsi="Times New Roman" w:eastAsia="黑体" w:cs="黑体"/>
        <w:b w:val="0"/>
        <w:i w:val="0"/>
        <w:sz w:val="21"/>
      </w:rPr>
    </w:lvl>
    <w:lvl w:ilvl="2" w:tentative="0">
      <w:start w:val="1"/>
      <w:numFmt w:val="decimal"/>
      <w:suff w:val="nothing"/>
      <w:lvlText w:val="%1%2.%3　"/>
      <w:lvlJc w:val="left"/>
      <w:pPr>
        <w:ind w:left="0" w:firstLine="0"/>
        <w:textAlignment w:val="baseline"/>
      </w:pPr>
      <w:rPr>
        <w:rFonts w:hint="eastAsia" w:ascii="黑体" w:hAnsi="Times New Roman" w:eastAsia="黑体" w:cs="Times New Roman"/>
        <w:b w:val="0"/>
        <w:bCs w:val="0"/>
        <w:i w:val="0"/>
        <w:iCs w:val="0"/>
        <w:caps w:val="0"/>
        <w:strike w:val="0"/>
        <w:dstrike w:val="0"/>
        <w:vanish w:val="0"/>
        <w:color w:val="000000"/>
        <w:spacing w:val="0"/>
        <w:kern w:val="0"/>
        <w:position w:val="0"/>
        <w:sz w:val="21"/>
        <w:u w:val="none"/>
      </w:rPr>
    </w:lvl>
    <w:lvl w:ilvl="3" w:tentative="0">
      <w:start w:val="1"/>
      <w:numFmt w:val="decimal"/>
      <w:pStyle w:val="40"/>
      <w:suff w:val="nothing"/>
      <w:lvlText w:val="%1%2.%3.%4　"/>
      <w:lvlJc w:val="left"/>
      <w:pPr>
        <w:ind w:left="567" w:firstLine="0"/>
      </w:pPr>
      <w:rPr>
        <w:rFonts w:hint="eastAsia" w:ascii="黑体" w:hAnsi="Times New Roman" w:eastAsia="黑体" w:cs="黑体"/>
        <w:b w:val="0"/>
        <w:i w:val="0"/>
        <w:sz w:val="21"/>
      </w:rPr>
    </w:lvl>
    <w:lvl w:ilvl="4" w:tentative="0">
      <w:start w:val="1"/>
      <w:numFmt w:val="decimal"/>
      <w:suff w:val="nothing"/>
      <w:lvlText w:val="%1%2.%3.%4.%5　"/>
      <w:lvlJc w:val="left"/>
      <w:pPr>
        <w:ind w:left="0" w:firstLine="0"/>
      </w:pPr>
      <w:rPr>
        <w:rFonts w:hint="eastAsia" w:ascii="黑体" w:hAnsi="Times New Roman" w:eastAsia="黑体" w:cs="黑体"/>
        <w:b w:val="0"/>
        <w:i w:val="0"/>
        <w:sz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2">
    <w:nsid w:val="A71F8913"/>
    <w:multiLevelType w:val="singleLevel"/>
    <w:tmpl w:val="A71F8913"/>
    <w:lvl w:ilvl="0" w:tentative="0">
      <w:start w:val="2"/>
      <w:numFmt w:val="chineseCounting"/>
      <w:suff w:val="nothing"/>
      <w:lvlText w:val="（%1）"/>
      <w:lvlJc w:val="left"/>
      <w:rPr>
        <w:rFonts w:hint="eastAsia"/>
      </w:rPr>
    </w:lvl>
  </w:abstractNum>
  <w:abstractNum w:abstractNumId="3">
    <w:nsid w:val="E8198991"/>
    <w:multiLevelType w:val="singleLevel"/>
    <w:tmpl w:val="E8198991"/>
    <w:lvl w:ilvl="0" w:tentative="0">
      <w:start w:val="2"/>
      <w:numFmt w:val="chineseCounting"/>
      <w:suff w:val="nothing"/>
      <w:lvlText w:val="%1、"/>
      <w:lvlJc w:val="left"/>
      <w:rPr>
        <w:rFonts w:hint="eastAsia"/>
      </w:rPr>
    </w:lvl>
  </w:abstractNum>
  <w:abstractNum w:abstractNumId="4">
    <w:nsid w:val="F27FA9EC"/>
    <w:multiLevelType w:val="multilevel"/>
    <w:tmpl w:val="F27FA9EC"/>
    <w:lvl w:ilvl="0" w:tentative="0">
      <w:start w:val="1"/>
      <w:numFmt w:val="none"/>
      <w:pStyle w:val="41"/>
      <w:lvlText w:val="%1——"/>
      <w:lvlJc w:val="left"/>
      <w:pPr>
        <w:tabs>
          <w:tab w:val="left" w:pos="851"/>
        </w:tabs>
        <w:ind w:left="851" w:hanging="426"/>
      </w:pPr>
      <w:rPr>
        <w:rFonts w:hint="eastAsia" w:ascii="宋体" w:hAnsi="Times New Roman" w:eastAsia="宋体" w:cs="宋体"/>
        <w:b w:val="0"/>
        <w:i w:val="0"/>
        <w:sz w:val="21"/>
      </w:rPr>
    </w:lvl>
    <w:lvl w:ilvl="1" w:tentative="0">
      <w:start w:val="1"/>
      <w:numFmt w:val="none"/>
      <w:lvlText w:val=""/>
      <w:lvlJc w:val="left"/>
      <w:pPr>
        <w:ind w:left="851" w:hanging="431"/>
      </w:pPr>
      <w:rPr>
        <w:rFonts w:ascii="Symbol" w:hAnsi="Symbol" w:cs="Symbol"/>
        <w:sz w:val="21"/>
      </w:rPr>
    </w:lvl>
    <w:lvl w:ilvl="2" w:tentative="0">
      <w:start w:val="1"/>
      <w:numFmt w:val="bullet"/>
      <w:lvlText w:val=""/>
      <w:lvlJc w:val="left"/>
      <w:pPr>
        <w:ind w:left="851" w:hanging="426"/>
      </w:pPr>
      <w:rPr>
        <w:rFonts w:hint="default" w:ascii="Wingdings" w:hAnsi="Wingdings" w:cs="Wingdings"/>
        <w:sz w:val="21"/>
      </w:rPr>
    </w:lvl>
    <w:lvl w:ilvl="3" w:tentative="0">
      <w:start w:val="1"/>
      <w:numFmt w:val="decimal"/>
      <w:lvlText w:val="%4."/>
      <w:lvlJc w:val="left"/>
      <w:pPr>
        <w:tabs>
          <w:tab w:val="left" w:pos="2071"/>
        </w:tabs>
        <w:ind w:left="1884" w:hanging="528"/>
      </w:pPr>
    </w:lvl>
    <w:lvl w:ilvl="4" w:tentative="0">
      <w:start w:val="1"/>
      <w:numFmt w:val="lowerLetter"/>
      <w:lvlText w:val="%5)"/>
      <w:lvlJc w:val="left"/>
      <w:pPr>
        <w:tabs>
          <w:tab w:val="left" w:pos="2383"/>
        </w:tabs>
        <w:ind w:left="2196" w:hanging="528"/>
      </w:pPr>
    </w:lvl>
    <w:lvl w:ilvl="5" w:tentative="0">
      <w:start w:val="1"/>
      <w:numFmt w:val="lowerRoman"/>
      <w:lvlText w:val="%6."/>
      <w:lvlJc w:val="right"/>
      <w:pPr>
        <w:tabs>
          <w:tab w:val="left" w:pos="2695"/>
        </w:tabs>
        <w:ind w:left="2508" w:hanging="528"/>
      </w:pPr>
    </w:lvl>
    <w:lvl w:ilvl="6" w:tentative="0">
      <w:start w:val="1"/>
      <w:numFmt w:val="decimal"/>
      <w:lvlText w:val="%7."/>
      <w:lvlJc w:val="left"/>
      <w:pPr>
        <w:tabs>
          <w:tab w:val="left" w:pos="3007"/>
        </w:tabs>
        <w:ind w:left="2820" w:hanging="528"/>
      </w:pPr>
    </w:lvl>
    <w:lvl w:ilvl="7" w:tentative="0">
      <w:start w:val="1"/>
      <w:numFmt w:val="lowerLetter"/>
      <w:lvlText w:val="%8)"/>
      <w:lvlJc w:val="left"/>
      <w:pPr>
        <w:tabs>
          <w:tab w:val="left" w:pos="3319"/>
        </w:tabs>
        <w:ind w:left="3132" w:hanging="528"/>
      </w:pPr>
    </w:lvl>
    <w:lvl w:ilvl="8" w:tentative="0">
      <w:start w:val="1"/>
      <w:numFmt w:val="lowerRoman"/>
      <w:lvlText w:val="%9."/>
      <w:lvlJc w:val="right"/>
      <w:pPr>
        <w:tabs>
          <w:tab w:val="left" w:pos="3631"/>
        </w:tabs>
        <w:ind w:left="3444" w:hanging="528"/>
      </w:pPr>
    </w:lvl>
  </w:abstractNum>
  <w:abstractNum w:abstractNumId="5">
    <w:nsid w:val="1427E49C"/>
    <w:multiLevelType w:val="multilevel"/>
    <w:tmpl w:val="1427E49C"/>
    <w:lvl w:ilvl="0" w:tentative="0">
      <w:start w:val="1"/>
      <w:numFmt w:val="none"/>
      <w:pStyle w:val="30"/>
      <w:suff w:val="nothing"/>
      <w:lvlText w:val="%1注："/>
      <w:lvlJc w:val="left"/>
      <w:pPr>
        <w:ind w:left="726" w:hanging="363"/>
      </w:pPr>
      <w:rPr>
        <w:rFonts w:hint="eastAsia" w:ascii="黑体" w:hAnsi="Times New Roman" w:eastAsia="黑体" w:cs="黑体"/>
        <w:b w:val="0"/>
        <w:sz w:val="18"/>
      </w:rPr>
    </w:lvl>
    <w:lvl w:ilvl="1" w:tentative="0">
      <w:start w:val="1"/>
      <w:numFmt w:val="lowerLetter"/>
      <w:lvlText w:val="%2)"/>
      <w:lvlJc w:val="left"/>
      <w:pPr>
        <w:tabs>
          <w:tab w:val="left" w:pos="1140"/>
        </w:tabs>
        <w:ind w:left="726" w:hanging="363"/>
      </w:pPr>
    </w:lvl>
    <w:lvl w:ilvl="2" w:tentative="0">
      <w:start w:val="1"/>
      <w:numFmt w:val="lowerRoman"/>
      <w:lvlText w:val="%3."/>
      <w:lvlJc w:val="right"/>
      <w:pPr>
        <w:tabs>
          <w:tab w:val="left" w:pos="1140"/>
        </w:tabs>
        <w:ind w:left="726" w:hanging="363"/>
      </w:pPr>
    </w:lvl>
    <w:lvl w:ilvl="3" w:tentative="0">
      <w:start w:val="1"/>
      <w:numFmt w:val="decimal"/>
      <w:lvlText w:val="%4."/>
      <w:lvlJc w:val="left"/>
      <w:pPr>
        <w:tabs>
          <w:tab w:val="left" w:pos="1140"/>
        </w:tabs>
        <w:ind w:left="726" w:hanging="363"/>
      </w:pPr>
    </w:lvl>
    <w:lvl w:ilvl="4" w:tentative="0">
      <w:start w:val="1"/>
      <w:numFmt w:val="lowerLetter"/>
      <w:lvlText w:val="%5)"/>
      <w:lvlJc w:val="left"/>
      <w:pPr>
        <w:tabs>
          <w:tab w:val="left" w:pos="1140"/>
        </w:tabs>
        <w:ind w:left="726" w:hanging="363"/>
      </w:pPr>
    </w:lvl>
    <w:lvl w:ilvl="5" w:tentative="0">
      <w:start w:val="1"/>
      <w:numFmt w:val="lowerRoman"/>
      <w:lvlText w:val="%6."/>
      <w:lvlJc w:val="right"/>
      <w:pPr>
        <w:tabs>
          <w:tab w:val="left" w:pos="1140"/>
        </w:tabs>
        <w:ind w:left="726" w:hanging="363"/>
      </w:pPr>
    </w:lvl>
    <w:lvl w:ilvl="6" w:tentative="0">
      <w:start w:val="1"/>
      <w:numFmt w:val="decimal"/>
      <w:lvlText w:val="%7."/>
      <w:lvlJc w:val="left"/>
      <w:pPr>
        <w:tabs>
          <w:tab w:val="left" w:pos="1140"/>
        </w:tabs>
        <w:ind w:left="726" w:hanging="363"/>
      </w:pPr>
    </w:lvl>
    <w:lvl w:ilvl="7" w:tentative="0">
      <w:start w:val="1"/>
      <w:numFmt w:val="lowerLetter"/>
      <w:lvlText w:val="%8)"/>
      <w:lvlJc w:val="left"/>
      <w:pPr>
        <w:tabs>
          <w:tab w:val="left" w:pos="1140"/>
        </w:tabs>
        <w:ind w:left="726" w:hanging="363"/>
      </w:pPr>
    </w:lvl>
    <w:lvl w:ilvl="8" w:tentative="0">
      <w:start w:val="1"/>
      <w:numFmt w:val="lowerRoman"/>
      <w:lvlText w:val="%9."/>
      <w:lvlJc w:val="right"/>
      <w:pPr>
        <w:tabs>
          <w:tab w:val="left" w:pos="1140"/>
        </w:tabs>
        <w:ind w:left="726" w:hanging="363"/>
      </w:pPr>
    </w:lvl>
  </w:abstractNum>
  <w:abstractNum w:abstractNumId="6">
    <w:nsid w:val="397E5845"/>
    <w:multiLevelType w:val="singleLevel"/>
    <w:tmpl w:val="397E5845"/>
    <w:lvl w:ilvl="0" w:tentative="0">
      <w:start w:val="3"/>
      <w:numFmt w:val="chineseCounting"/>
      <w:suff w:val="nothing"/>
      <w:lvlText w:val="%1、"/>
      <w:lvlJc w:val="left"/>
      <w:rPr>
        <w:rFonts w:hint="eastAsia"/>
      </w:rPr>
    </w:lvl>
  </w:abstractNum>
  <w:abstractNum w:abstractNumId="7">
    <w:nsid w:val="443D7D6D"/>
    <w:multiLevelType w:val="multilevel"/>
    <w:tmpl w:val="443D7D6D"/>
    <w:lvl w:ilvl="0" w:tentative="0">
      <w:start w:val="1"/>
      <w:numFmt w:val="none"/>
      <w:pStyle w:val="42"/>
      <w:lvlText w:val="%1注："/>
      <w:lvlJc w:val="left"/>
      <w:pPr>
        <w:ind w:left="737" w:hanging="374"/>
      </w:pPr>
      <w:rPr>
        <w:rFonts w:hint="eastAsia" w:ascii="黑体" w:hAnsi="Times New Roman" w:eastAsia="黑体" w:cs="黑体"/>
        <w:b w:val="0"/>
        <w:i w:val="0"/>
        <w:sz w:val="18"/>
      </w:rPr>
    </w:lvl>
    <w:lvl w:ilvl="1" w:tentative="0">
      <w:start w:val="1"/>
      <w:numFmt w:val="lowerLetter"/>
      <w:lvlText w:val="%2)"/>
      <w:lvlJc w:val="left"/>
      <w:pPr>
        <w:tabs>
          <w:tab w:val="left" w:pos="1140"/>
        </w:tabs>
        <w:ind w:left="726" w:hanging="363"/>
      </w:pPr>
    </w:lvl>
    <w:lvl w:ilvl="2" w:tentative="0">
      <w:start w:val="1"/>
      <w:numFmt w:val="lowerRoman"/>
      <w:lvlText w:val="%3."/>
      <w:lvlJc w:val="right"/>
      <w:pPr>
        <w:tabs>
          <w:tab w:val="left" w:pos="1140"/>
        </w:tabs>
        <w:ind w:left="726" w:hanging="363"/>
      </w:pPr>
    </w:lvl>
    <w:lvl w:ilvl="3" w:tentative="0">
      <w:start w:val="1"/>
      <w:numFmt w:val="decimal"/>
      <w:lvlText w:val="%4."/>
      <w:lvlJc w:val="left"/>
      <w:pPr>
        <w:tabs>
          <w:tab w:val="left" w:pos="1140"/>
        </w:tabs>
        <w:ind w:left="726" w:hanging="363"/>
      </w:pPr>
    </w:lvl>
    <w:lvl w:ilvl="4" w:tentative="0">
      <w:start w:val="1"/>
      <w:numFmt w:val="lowerLetter"/>
      <w:lvlText w:val="%5)"/>
      <w:lvlJc w:val="left"/>
      <w:pPr>
        <w:tabs>
          <w:tab w:val="left" w:pos="1140"/>
        </w:tabs>
        <w:ind w:left="726" w:hanging="363"/>
      </w:pPr>
    </w:lvl>
    <w:lvl w:ilvl="5" w:tentative="0">
      <w:start w:val="1"/>
      <w:numFmt w:val="lowerRoman"/>
      <w:lvlText w:val="%6."/>
      <w:lvlJc w:val="right"/>
      <w:pPr>
        <w:tabs>
          <w:tab w:val="left" w:pos="1140"/>
        </w:tabs>
        <w:ind w:left="726" w:hanging="363"/>
      </w:pPr>
    </w:lvl>
    <w:lvl w:ilvl="6" w:tentative="0">
      <w:start w:val="1"/>
      <w:numFmt w:val="decimal"/>
      <w:lvlText w:val="%7."/>
      <w:lvlJc w:val="left"/>
      <w:pPr>
        <w:tabs>
          <w:tab w:val="left" w:pos="1140"/>
        </w:tabs>
        <w:ind w:left="726" w:hanging="363"/>
      </w:pPr>
    </w:lvl>
    <w:lvl w:ilvl="7" w:tentative="0">
      <w:start w:val="1"/>
      <w:numFmt w:val="lowerLetter"/>
      <w:lvlText w:val="%8)"/>
      <w:lvlJc w:val="left"/>
      <w:pPr>
        <w:tabs>
          <w:tab w:val="left" w:pos="1140"/>
        </w:tabs>
        <w:ind w:left="726" w:hanging="363"/>
      </w:pPr>
    </w:lvl>
    <w:lvl w:ilvl="8" w:tentative="0">
      <w:start w:val="1"/>
      <w:numFmt w:val="lowerRoman"/>
      <w:lvlText w:val="%9."/>
      <w:lvlJc w:val="right"/>
      <w:pPr>
        <w:tabs>
          <w:tab w:val="left" w:pos="1140"/>
        </w:tabs>
        <w:ind w:left="726" w:hanging="363"/>
      </w:pPr>
    </w:lvl>
  </w:abstractNum>
  <w:abstractNum w:abstractNumId="8">
    <w:nsid w:val="557C2AF5"/>
    <w:multiLevelType w:val="multilevel"/>
    <w:tmpl w:val="557C2AF5"/>
    <w:lvl w:ilvl="0" w:tentative="0">
      <w:start w:val="1"/>
      <w:numFmt w:val="decimal"/>
      <w:pStyle w:val="32"/>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36"/>
      <w:suff w:val="nothing"/>
      <w:lvlText w:val="%1%2　"/>
      <w:lvlJc w:val="left"/>
      <w:pPr>
        <w:ind w:left="0" w:firstLine="0"/>
      </w:pPr>
      <w:rPr>
        <w:rFonts w:hint="eastAsia" w:ascii="黑体" w:eastAsia="黑体"/>
        <w:b w:val="0"/>
        <w:i w:val="0"/>
        <w:sz w:val="21"/>
      </w:rPr>
    </w:lvl>
    <w:lvl w:ilvl="2" w:tentative="0">
      <w:start w:val="1"/>
      <w:numFmt w:val="decimal"/>
      <w:pStyle w:val="3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1276"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79C3C320"/>
    <w:multiLevelType w:val="singleLevel"/>
    <w:tmpl w:val="79C3C320"/>
    <w:lvl w:ilvl="0" w:tentative="0">
      <w:start w:val="3"/>
      <w:numFmt w:val="decimal"/>
      <w:suff w:val="nothing"/>
      <w:lvlText w:val="（%1）"/>
      <w:lvlJc w:val="left"/>
    </w:lvl>
  </w:abstractNum>
  <w:abstractNum w:abstractNumId="11">
    <w:nsid w:val="7B803F7F"/>
    <w:multiLevelType w:val="multilevel"/>
    <w:tmpl w:val="7B803F7F"/>
    <w:lvl w:ilvl="0" w:tentative="0">
      <w:start w:val="1"/>
      <w:numFmt w:val="chineseCountingThousand"/>
      <w:pStyle w:val="2"/>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1"/>
  </w:num>
  <w:num w:numId="2">
    <w:abstractNumId w:val="5"/>
  </w:num>
  <w:num w:numId="3">
    <w:abstractNumId w:val="8"/>
  </w:num>
  <w:num w:numId="4">
    <w:abstractNumId w:val="9"/>
  </w:num>
  <w:num w:numId="5">
    <w:abstractNumId w:val="1"/>
  </w:num>
  <w:num w:numId="6">
    <w:abstractNumId w:val="4"/>
  </w:num>
  <w:num w:numId="7">
    <w:abstractNumId w:val="7"/>
  </w:num>
  <w:num w:numId="8">
    <w:abstractNumId w:val="3"/>
  </w:num>
  <w:num w:numId="9">
    <w:abstractNumId w:val="6"/>
  </w:num>
  <w:num w:numId="10">
    <w:abstractNumId w:val="2"/>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2M2Q2MmU2YTkwNjRlNzJlMGY1NzAwNGIzMWVhMGMifQ=="/>
  </w:docVars>
  <w:rsids>
    <w:rsidRoot w:val="004304C4"/>
    <w:rsid w:val="00000E8F"/>
    <w:rsid w:val="00003A86"/>
    <w:rsid w:val="00004F72"/>
    <w:rsid w:val="000069A6"/>
    <w:rsid w:val="00006A60"/>
    <w:rsid w:val="00007754"/>
    <w:rsid w:val="000123A7"/>
    <w:rsid w:val="00015276"/>
    <w:rsid w:val="00015ECC"/>
    <w:rsid w:val="00021CA8"/>
    <w:rsid w:val="00025277"/>
    <w:rsid w:val="0002564F"/>
    <w:rsid w:val="00025890"/>
    <w:rsid w:val="000279DE"/>
    <w:rsid w:val="000338BE"/>
    <w:rsid w:val="000354F8"/>
    <w:rsid w:val="0004751D"/>
    <w:rsid w:val="000547CB"/>
    <w:rsid w:val="0006435C"/>
    <w:rsid w:val="000722F8"/>
    <w:rsid w:val="00074650"/>
    <w:rsid w:val="00074A02"/>
    <w:rsid w:val="00075ED4"/>
    <w:rsid w:val="00076FB5"/>
    <w:rsid w:val="00087D9A"/>
    <w:rsid w:val="00097446"/>
    <w:rsid w:val="00097A50"/>
    <w:rsid w:val="000A2E2D"/>
    <w:rsid w:val="000B3656"/>
    <w:rsid w:val="000B641B"/>
    <w:rsid w:val="000C0EDD"/>
    <w:rsid w:val="000C3104"/>
    <w:rsid w:val="000C6523"/>
    <w:rsid w:val="000D5DF9"/>
    <w:rsid w:val="000E0EA3"/>
    <w:rsid w:val="000E41E3"/>
    <w:rsid w:val="000E4A38"/>
    <w:rsid w:val="000E7152"/>
    <w:rsid w:val="000E7774"/>
    <w:rsid w:val="000F1CDD"/>
    <w:rsid w:val="000F29A0"/>
    <w:rsid w:val="000F2E68"/>
    <w:rsid w:val="000F4ADF"/>
    <w:rsid w:val="000F6C58"/>
    <w:rsid w:val="00100D68"/>
    <w:rsid w:val="001013D2"/>
    <w:rsid w:val="001051CD"/>
    <w:rsid w:val="00110A84"/>
    <w:rsid w:val="00111321"/>
    <w:rsid w:val="00111B7D"/>
    <w:rsid w:val="00117392"/>
    <w:rsid w:val="00123710"/>
    <w:rsid w:val="00125717"/>
    <w:rsid w:val="00130035"/>
    <w:rsid w:val="00130923"/>
    <w:rsid w:val="00131D86"/>
    <w:rsid w:val="0013290A"/>
    <w:rsid w:val="00133A55"/>
    <w:rsid w:val="00133D4F"/>
    <w:rsid w:val="0013430D"/>
    <w:rsid w:val="00135F42"/>
    <w:rsid w:val="0013715C"/>
    <w:rsid w:val="00140862"/>
    <w:rsid w:val="00143B87"/>
    <w:rsid w:val="00143BDC"/>
    <w:rsid w:val="00145189"/>
    <w:rsid w:val="001505C8"/>
    <w:rsid w:val="001529A4"/>
    <w:rsid w:val="0015373C"/>
    <w:rsid w:val="001549DE"/>
    <w:rsid w:val="0015508F"/>
    <w:rsid w:val="00160AFB"/>
    <w:rsid w:val="00161A05"/>
    <w:rsid w:val="00162081"/>
    <w:rsid w:val="00162DFA"/>
    <w:rsid w:val="00165E6B"/>
    <w:rsid w:val="00167D62"/>
    <w:rsid w:val="00171AA3"/>
    <w:rsid w:val="00173BE2"/>
    <w:rsid w:val="001752AB"/>
    <w:rsid w:val="001754FF"/>
    <w:rsid w:val="001765C1"/>
    <w:rsid w:val="0017746D"/>
    <w:rsid w:val="001809C1"/>
    <w:rsid w:val="00186823"/>
    <w:rsid w:val="0018766F"/>
    <w:rsid w:val="00194311"/>
    <w:rsid w:val="00195320"/>
    <w:rsid w:val="001A024D"/>
    <w:rsid w:val="001A37C5"/>
    <w:rsid w:val="001A53B4"/>
    <w:rsid w:val="001B39CD"/>
    <w:rsid w:val="001B4BE9"/>
    <w:rsid w:val="001C680D"/>
    <w:rsid w:val="001D5706"/>
    <w:rsid w:val="001E24BD"/>
    <w:rsid w:val="001E4F1C"/>
    <w:rsid w:val="001E6BE7"/>
    <w:rsid w:val="001F0013"/>
    <w:rsid w:val="001F042F"/>
    <w:rsid w:val="001F1AEB"/>
    <w:rsid w:val="001F2C2B"/>
    <w:rsid w:val="001F678B"/>
    <w:rsid w:val="00201C94"/>
    <w:rsid w:val="00201DBA"/>
    <w:rsid w:val="00202FA8"/>
    <w:rsid w:val="0020502B"/>
    <w:rsid w:val="0020697F"/>
    <w:rsid w:val="00207669"/>
    <w:rsid w:val="00211DDF"/>
    <w:rsid w:val="00214BB8"/>
    <w:rsid w:val="00214F93"/>
    <w:rsid w:val="002151F5"/>
    <w:rsid w:val="00220DE4"/>
    <w:rsid w:val="002216B0"/>
    <w:rsid w:val="002261EA"/>
    <w:rsid w:val="00227010"/>
    <w:rsid w:val="002306BF"/>
    <w:rsid w:val="00231C3C"/>
    <w:rsid w:val="00236401"/>
    <w:rsid w:val="002410BC"/>
    <w:rsid w:val="00245E02"/>
    <w:rsid w:val="00253BBE"/>
    <w:rsid w:val="00255DD6"/>
    <w:rsid w:val="00256A8B"/>
    <w:rsid w:val="00257169"/>
    <w:rsid w:val="00257C46"/>
    <w:rsid w:val="00260B4D"/>
    <w:rsid w:val="0026143F"/>
    <w:rsid w:val="00262DC1"/>
    <w:rsid w:val="00264499"/>
    <w:rsid w:val="0026685C"/>
    <w:rsid w:val="00267255"/>
    <w:rsid w:val="00270416"/>
    <w:rsid w:val="00272353"/>
    <w:rsid w:val="00273D9E"/>
    <w:rsid w:val="0027699B"/>
    <w:rsid w:val="00276A91"/>
    <w:rsid w:val="00280958"/>
    <w:rsid w:val="002809F0"/>
    <w:rsid w:val="00285106"/>
    <w:rsid w:val="0029135B"/>
    <w:rsid w:val="002941C3"/>
    <w:rsid w:val="00295060"/>
    <w:rsid w:val="0029595B"/>
    <w:rsid w:val="00296FA5"/>
    <w:rsid w:val="00297D5D"/>
    <w:rsid w:val="002A0999"/>
    <w:rsid w:val="002A1C06"/>
    <w:rsid w:val="002A2D12"/>
    <w:rsid w:val="002A41C9"/>
    <w:rsid w:val="002A41E7"/>
    <w:rsid w:val="002A56D9"/>
    <w:rsid w:val="002A78D1"/>
    <w:rsid w:val="002B0B2F"/>
    <w:rsid w:val="002B1C05"/>
    <w:rsid w:val="002B4888"/>
    <w:rsid w:val="002B56A9"/>
    <w:rsid w:val="002B5915"/>
    <w:rsid w:val="002C0512"/>
    <w:rsid w:val="002C08C2"/>
    <w:rsid w:val="002C30F4"/>
    <w:rsid w:val="002C44F5"/>
    <w:rsid w:val="002C53FA"/>
    <w:rsid w:val="002C57DF"/>
    <w:rsid w:val="002D0F7D"/>
    <w:rsid w:val="002D5E32"/>
    <w:rsid w:val="002D7723"/>
    <w:rsid w:val="002E16E8"/>
    <w:rsid w:val="002E2B0E"/>
    <w:rsid w:val="002E6801"/>
    <w:rsid w:val="002E7EB4"/>
    <w:rsid w:val="002F0015"/>
    <w:rsid w:val="002F7462"/>
    <w:rsid w:val="00301565"/>
    <w:rsid w:val="00307CB8"/>
    <w:rsid w:val="00310267"/>
    <w:rsid w:val="003114C7"/>
    <w:rsid w:val="003203DF"/>
    <w:rsid w:val="0032472D"/>
    <w:rsid w:val="00326EFF"/>
    <w:rsid w:val="00330B99"/>
    <w:rsid w:val="00330F68"/>
    <w:rsid w:val="00340FA8"/>
    <w:rsid w:val="00341AB0"/>
    <w:rsid w:val="00351BC2"/>
    <w:rsid w:val="0035217A"/>
    <w:rsid w:val="0035426A"/>
    <w:rsid w:val="003554A3"/>
    <w:rsid w:val="00361228"/>
    <w:rsid w:val="00363421"/>
    <w:rsid w:val="00366D81"/>
    <w:rsid w:val="003731E4"/>
    <w:rsid w:val="003760E8"/>
    <w:rsid w:val="00380591"/>
    <w:rsid w:val="0038343B"/>
    <w:rsid w:val="00384AF1"/>
    <w:rsid w:val="00385CE1"/>
    <w:rsid w:val="003943C5"/>
    <w:rsid w:val="00395DB5"/>
    <w:rsid w:val="003A02D9"/>
    <w:rsid w:val="003A1FBE"/>
    <w:rsid w:val="003A5E9F"/>
    <w:rsid w:val="003B0D7D"/>
    <w:rsid w:val="003B3A77"/>
    <w:rsid w:val="003C0B97"/>
    <w:rsid w:val="003C1197"/>
    <w:rsid w:val="003D0354"/>
    <w:rsid w:val="003E1C4D"/>
    <w:rsid w:val="003F10A6"/>
    <w:rsid w:val="003F152E"/>
    <w:rsid w:val="003F57CA"/>
    <w:rsid w:val="004004B5"/>
    <w:rsid w:val="0040137F"/>
    <w:rsid w:val="00403E84"/>
    <w:rsid w:val="00415A86"/>
    <w:rsid w:val="00415D89"/>
    <w:rsid w:val="00422059"/>
    <w:rsid w:val="00425B0F"/>
    <w:rsid w:val="0042642D"/>
    <w:rsid w:val="004266E7"/>
    <w:rsid w:val="004272E1"/>
    <w:rsid w:val="004304C4"/>
    <w:rsid w:val="00435DB7"/>
    <w:rsid w:val="00440675"/>
    <w:rsid w:val="00450D06"/>
    <w:rsid w:val="00451849"/>
    <w:rsid w:val="0045300F"/>
    <w:rsid w:val="00454F77"/>
    <w:rsid w:val="00461B69"/>
    <w:rsid w:val="00463F5D"/>
    <w:rsid w:val="004651D6"/>
    <w:rsid w:val="00466A00"/>
    <w:rsid w:val="00470670"/>
    <w:rsid w:val="00470E92"/>
    <w:rsid w:val="00473E12"/>
    <w:rsid w:val="00477E84"/>
    <w:rsid w:val="00480191"/>
    <w:rsid w:val="0048491A"/>
    <w:rsid w:val="004905A3"/>
    <w:rsid w:val="00496E96"/>
    <w:rsid w:val="004A1D95"/>
    <w:rsid w:val="004A2D70"/>
    <w:rsid w:val="004A58B0"/>
    <w:rsid w:val="004A6E78"/>
    <w:rsid w:val="004A6FD5"/>
    <w:rsid w:val="004B2E5D"/>
    <w:rsid w:val="004B2F60"/>
    <w:rsid w:val="004B43CD"/>
    <w:rsid w:val="004B5FEE"/>
    <w:rsid w:val="004B6281"/>
    <w:rsid w:val="004B70A4"/>
    <w:rsid w:val="004C171B"/>
    <w:rsid w:val="004C4041"/>
    <w:rsid w:val="004C421A"/>
    <w:rsid w:val="004D0AB8"/>
    <w:rsid w:val="004D5805"/>
    <w:rsid w:val="004D6BBB"/>
    <w:rsid w:val="004E6A4B"/>
    <w:rsid w:val="004F2787"/>
    <w:rsid w:val="004F457A"/>
    <w:rsid w:val="004F5C5F"/>
    <w:rsid w:val="004F6843"/>
    <w:rsid w:val="004F752C"/>
    <w:rsid w:val="00501942"/>
    <w:rsid w:val="005035CC"/>
    <w:rsid w:val="00510870"/>
    <w:rsid w:val="00510877"/>
    <w:rsid w:val="00510DB6"/>
    <w:rsid w:val="00512179"/>
    <w:rsid w:val="0051485D"/>
    <w:rsid w:val="00517D71"/>
    <w:rsid w:val="00520A7F"/>
    <w:rsid w:val="00520AAE"/>
    <w:rsid w:val="00522AC4"/>
    <w:rsid w:val="0052470C"/>
    <w:rsid w:val="005269D2"/>
    <w:rsid w:val="00531E15"/>
    <w:rsid w:val="00543304"/>
    <w:rsid w:val="005472A5"/>
    <w:rsid w:val="00550F53"/>
    <w:rsid w:val="005517DF"/>
    <w:rsid w:val="005531DE"/>
    <w:rsid w:val="0056051E"/>
    <w:rsid w:val="00561D64"/>
    <w:rsid w:val="00566126"/>
    <w:rsid w:val="00567051"/>
    <w:rsid w:val="00570F79"/>
    <w:rsid w:val="00571E87"/>
    <w:rsid w:val="00573257"/>
    <w:rsid w:val="005867CD"/>
    <w:rsid w:val="00592501"/>
    <w:rsid w:val="00596524"/>
    <w:rsid w:val="005A26FD"/>
    <w:rsid w:val="005A2880"/>
    <w:rsid w:val="005A359F"/>
    <w:rsid w:val="005A3EFE"/>
    <w:rsid w:val="005A5A64"/>
    <w:rsid w:val="005B0DE9"/>
    <w:rsid w:val="005B0F49"/>
    <w:rsid w:val="005B1581"/>
    <w:rsid w:val="005B5D82"/>
    <w:rsid w:val="005C0762"/>
    <w:rsid w:val="005C56C2"/>
    <w:rsid w:val="005D1340"/>
    <w:rsid w:val="005D259F"/>
    <w:rsid w:val="005D5A5D"/>
    <w:rsid w:val="005E05F0"/>
    <w:rsid w:val="005E345C"/>
    <w:rsid w:val="005E3F43"/>
    <w:rsid w:val="005E5C33"/>
    <w:rsid w:val="005E6160"/>
    <w:rsid w:val="005E627E"/>
    <w:rsid w:val="005F3459"/>
    <w:rsid w:val="005F459D"/>
    <w:rsid w:val="00601A97"/>
    <w:rsid w:val="00614D06"/>
    <w:rsid w:val="00615B99"/>
    <w:rsid w:val="00615DF2"/>
    <w:rsid w:val="0062187E"/>
    <w:rsid w:val="00625612"/>
    <w:rsid w:val="00627B3B"/>
    <w:rsid w:val="006327A1"/>
    <w:rsid w:val="00636BEB"/>
    <w:rsid w:val="00643D65"/>
    <w:rsid w:val="00647024"/>
    <w:rsid w:val="00651E7D"/>
    <w:rsid w:val="00654348"/>
    <w:rsid w:val="006575C8"/>
    <w:rsid w:val="00657F43"/>
    <w:rsid w:val="00660DAD"/>
    <w:rsid w:val="00660E3E"/>
    <w:rsid w:val="0066191A"/>
    <w:rsid w:val="006622F2"/>
    <w:rsid w:val="00662CF6"/>
    <w:rsid w:val="00665F1E"/>
    <w:rsid w:val="00666732"/>
    <w:rsid w:val="00671C94"/>
    <w:rsid w:val="00673AB2"/>
    <w:rsid w:val="006808AB"/>
    <w:rsid w:val="00683B72"/>
    <w:rsid w:val="00683CF4"/>
    <w:rsid w:val="00685E87"/>
    <w:rsid w:val="00686B32"/>
    <w:rsid w:val="00687DFD"/>
    <w:rsid w:val="00690630"/>
    <w:rsid w:val="006913CD"/>
    <w:rsid w:val="00692B86"/>
    <w:rsid w:val="00693DE7"/>
    <w:rsid w:val="006A0B6B"/>
    <w:rsid w:val="006A383F"/>
    <w:rsid w:val="006A5E36"/>
    <w:rsid w:val="006B04B0"/>
    <w:rsid w:val="006B2DA9"/>
    <w:rsid w:val="006B359C"/>
    <w:rsid w:val="006B53E6"/>
    <w:rsid w:val="006B76C6"/>
    <w:rsid w:val="006C2D91"/>
    <w:rsid w:val="006C2F23"/>
    <w:rsid w:val="006C7C35"/>
    <w:rsid w:val="006E27C2"/>
    <w:rsid w:val="006E2E59"/>
    <w:rsid w:val="006E4D62"/>
    <w:rsid w:val="006E589B"/>
    <w:rsid w:val="006E5CCC"/>
    <w:rsid w:val="006F2842"/>
    <w:rsid w:val="006F4769"/>
    <w:rsid w:val="006F5866"/>
    <w:rsid w:val="00702036"/>
    <w:rsid w:val="00702E30"/>
    <w:rsid w:val="00710D5C"/>
    <w:rsid w:val="00712B2D"/>
    <w:rsid w:val="007154A1"/>
    <w:rsid w:val="00717646"/>
    <w:rsid w:val="007233FF"/>
    <w:rsid w:val="00724B77"/>
    <w:rsid w:val="0072600B"/>
    <w:rsid w:val="00730741"/>
    <w:rsid w:val="007327F2"/>
    <w:rsid w:val="007330E5"/>
    <w:rsid w:val="00735A6A"/>
    <w:rsid w:val="00735D6E"/>
    <w:rsid w:val="007370EB"/>
    <w:rsid w:val="007413AF"/>
    <w:rsid w:val="007416A9"/>
    <w:rsid w:val="007462FD"/>
    <w:rsid w:val="007465F2"/>
    <w:rsid w:val="00750017"/>
    <w:rsid w:val="00751DC6"/>
    <w:rsid w:val="0075263C"/>
    <w:rsid w:val="007531B2"/>
    <w:rsid w:val="00755991"/>
    <w:rsid w:val="00756231"/>
    <w:rsid w:val="007579EA"/>
    <w:rsid w:val="0076649F"/>
    <w:rsid w:val="00767778"/>
    <w:rsid w:val="00767A46"/>
    <w:rsid w:val="00771BD4"/>
    <w:rsid w:val="0077392A"/>
    <w:rsid w:val="007869B1"/>
    <w:rsid w:val="00786BF7"/>
    <w:rsid w:val="007908AA"/>
    <w:rsid w:val="00791878"/>
    <w:rsid w:val="007933B7"/>
    <w:rsid w:val="00793873"/>
    <w:rsid w:val="00793A30"/>
    <w:rsid w:val="007961D1"/>
    <w:rsid w:val="00797796"/>
    <w:rsid w:val="0079797B"/>
    <w:rsid w:val="007A074B"/>
    <w:rsid w:val="007A22C3"/>
    <w:rsid w:val="007A30D3"/>
    <w:rsid w:val="007A3720"/>
    <w:rsid w:val="007A42E6"/>
    <w:rsid w:val="007A507A"/>
    <w:rsid w:val="007A60BC"/>
    <w:rsid w:val="007B0815"/>
    <w:rsid w:val="007B782E"/>
    <w:rsid w:val="007C088D"/>
    <w:rsid w:val="007C1845"/>
    <w:rsid w:val="007C3278"/>
    <w:rsid w:val="007C5B92"/>
    <w:rsid w:val="007C6126"/>
    <w:rsid w:val="007E0278"/>
    <w:rsid w:val="007E07A8"/>
    <w:rsid w:val="007E1148"/>
    <w:rsid w:val="007E13F1"/>
    <w:rsid w:val="007E3250"/>
    <w:rsid w:val="007E3B47"/>
    <w:rsid w:val="007E51AD"/>
    <w:rsid w:val="007F2B7D"/>
    <w:rsid w:val="007F364C"/>
    <w:rsid w:val="007F3C88"/>
    <w:rsid w:val="007F3E41"/>
    <w:rsid w:val="007F4AF5"/>
    <w:rsid w:val="007F58C8"/>
    <w:rsid w:val="00803013"/>
    <w:rsid w:val="00804F17"/>
    <w:rsid w:val="00805872"/>
    <w:rsid w:val="00825471"/>
    <w:rsid w:val="0083220D"/>
    <w:rsid w:val="00832FFC"/>
    <w:rsid w:val="00834125"/>
    <w:rsid w:val="008403F0"/>
    <w:rsid w:val="00842169"/>
    <w:rsid w:val="00847D05"/>
    <w:rsid w:val="00852524"/>
    <w:rsid w:val="00853BCE"/>
    <w:rsid w:val="00862010"/>
    <w:rsid w:val="00863B59"/>
    <w:rsid w:val="008668F3"/>
    <w:rsid w:val="00870124"/>
    <w:rsid w:val="00871DBB"/>
    <w:rsid w:val="0087480D"/>
    <w:rsid w:val="00875797"/>
    <w:rsid w:val="00876AD7"/>
    <w:rsid w:val="00880F08"/>
    <w:rsid w:val="008821F1"/>
    <w:rsid w:val="008853C3"/>
    <w:rsid w:val="00893291"/>
    <w:rsid w:val="00894DD6"/>
    <w:rsid w:val="008A602F"/>
    <w:rsid w:val="008A6254"/>
    <w:rsid w:val="008A7AE1"/>
    <w:rsid w:val="008B09BD"/>
    <w:rsid w:val="008C687C"/>
    <w:rsid w:val="008C7575"/>
    <w:rsid w:val="008D242B"/>
    <w:rsid w:val="008D5D72"/>
    <w:rsid w:val="008E0C16"/>
    <w:rsid w:val="008F3712"/>
    <w:rsid w:val="008F5D4B"/>
    <w:rsid w:val="00901F02"/>
    <w:rsid w:val="00904AA7"/>
    <w:rsid w:val="00905311"/>
    <w:rsid w:val="00906B0E"/>
    <w:rsid w:val="00911A06"/>
    <w:rsid w:val="00913526"/>
    <w:rsid w:val="00913754"/>
    <w:rsid w:val="009214B4"/>
    <w:rsid w:val="0092185D"/>
    <w:rsid w:val="009230D9"/>
    <w:rsid w:val="00927603"/>
    <w:rsid w:val="00930024"/>
    <w:rsid w:val="00930A7F"/>
    <w:rsid w:val="0093156F"/>
    <w:rsid w:val="0093449F"/>
    <w:rsid w:val="00936F93"/>
    <w:rsid w:val="009404F0"/>
    <w:rsid w:val="00943DD0"/>
    <w:rsid w:val="00945E6F"/>
    <w:rsid w:val="00946F53"/>
    <w:rsid w:val="0094779F"/>
    <w:rsid w:val="009513F2"/>
    <w:rsid w:val="00955908"/>
    <w:rsid w:val="00957F0B"/>
    <w:rsid w:val="00960969"/>
    <w:rsid w:val="00961BEE"/>
    <w:rsid w:val="0096402A"/>
    <w:rsid w:val="00967D1D"/>
    <w:rsid w:val="00967F3C"/>
    <w:rsid w:val="009717CD"/>
    <w:rsid w:val="009720D0"/>
    <w:rsid w:val="00972181"/>
    <w:rsid w:val="00972C3D"/>
    <w:rsid w:val="0097433D"/>
    <w:rsid w:val="00977673"/>
    <w:rsid w:val="00977BC7"/>
    <w:rsid w:val="00977D13"/>
    <w:rsid w:val="0098163B"/>
    <w:rsid w:val="00985B97"/>
    <w:rsid w:val="00986293"/>
    <w:rsid w:val="00986F18"/>
    <w:rsid w:val="009A312C"/>
    <w:rsid w:val="009A511A"/>
    <w:rsid w:val="009A62D9"/>
    <w:rsid w:val="009B0728"/>
    <w:rsid w:val="009B262C"/>
    <w:rsid w:val="009B2F51"/>
    <w:rsid w:val="009C00F5"/>
    <w:rsid w:val="009C56DF"/>
    <w:rsid w:val="009C6C1A"/>
    <w:rsid w:val="009D2604"/>
    <w:rsid w:val="009D33A3"/>
    <w:rsid w:val="009E0510"/>
    <w:rsid w:val="009E197F"/>
    <w:rsid w:val="009E3FA7"/>
    <w:rsid w:val="009F75DE"/>
    <w:rsid w:val="009F7738"/>
    <w:rsid w:val="00A01A16"/>
    <w:rsid w:val="00A04FC4"/>
    <w:rsid w:val="00A07327"/>
    <w:rsid w:val="00A1162F"/>
    <w:rsid w:val="00A22AC8"/>
    <w:rsid w:val="00A24E30"/>
    <w:rsid w:val="00A26747"/>
    <w:rsid w:val="00A26C9E"/>
    <w:rsid w:val="00A37FD1"/>
    <w:rsid w:val="00A41E0A"/>
    <w:rsid w:val="00A46628"/>
    <w:rsid w:val="00A6101E"/>
    <w:rsid w:val="00A62F72"/>
    <w:rsid w:val="00A6592F"/>
    <w:rsid w:val="00A6596D"/>
    <w:rsid w:val="00A67606"/>
    <w:rsid w:val="00A70B83"/>
    <w:rsid w:val="00A714C3"/>
    <w:rsid w:val="00A72583"/>
    <w:rsid w:val="00A73A75"/>
    <w:rsid w:val="00A7404D"/>
    <w:rsid w:val="00A82233"/>
    <w:rsid w:val="00A84E67"/>
    <w:rsid w:val="00A93E43"/>
    <w:rsid w:val="00A978B1"/>
    <w:rsid w:val="00A97C61"/>
    <w:rsid w:val="00AA04D7"/>
    <w:rsid w:val="00AA11B3"/>
    <w:rsid w:val="00AA159C"/>
    <w:rsid w:val="00AC1027"/>
    <w:rsid w:val="00AC274F"/>
    <w:rsid w:val="00AC438B"/>
    <w:rsid w:val="00AD4BD5"/>
    <w:rsid w:val="00AD5DB9"/>
    <w:rsid w:val="00AD7A65"/>
    <w:rsid w:val="00AE2B60"/>
    <w:rsid w:val="00AE6458"/>
    <w:rsid w:val="00AE67FB"/>
    <w:rsid w:val="00AF0C87"/>
    <w:rsid w:val="00AF3002"/>
    <w:rsid w:val="00AF488D"/>
    <w:rsid w:val="00AF6F74"/>
    <w:rsid w:val="00B00F93"/>
    <w:rsid w:val="00B01270"/>
    <w:rsid w:val="00B03E1F"/>
    <w:rsid w:val="00B056E3"/>
    <w:rsid w:val="00B2149F"/>
    <w:rsid w:val="00B21AAC"/>
    <w:rsid w:val="00B22C2E"/>
    <w:rsid w:val="00B24B76"/>
    <w:rsid w:val="00B30502"/>
    <w:rsid w:val="00B30B5A"/>
    <w:rsid w:val="00B30EA9"/>
    <w:rsid w:val="00B34E68"/>
    <w:rsid w:val="00B37E8A"/>
    <w:rsid w:val="00B41035"/>
    <w:rsid w:val="00B43467"/>
    <w:rsid w:val="00B45939"/>
    <w:rsid w:val="00B47A3B"/>
    <w:rsid w:val="00B532D2"/>
    <w:rsid w:val="00B54E19"/>
    <w:rsid w:val="00B61BB0"/>
    <w:rsid w:val="00B7002A"/>
    <w:rsid w:val="00B712C2"/>
    <w:rsid w:val="00B7178C"/>
    <w:rsid w:val="00B72306"/>
    <w:rsid w:val="00B7235B"/>
    <w:rsid w:val="00B806CE"/>
    <w:rsid w:val="00B90680"/>
    <w:rsid w:val="00B90EBD"/>
    <w:rsid w:val="00BA04D8"/>
    <w:rsid w:val="00BB368B"/>
    <w:rsid w:val="00BB44A5"/>
    <w:rsid w:val="00BB63F4"/>
    <w:rsid w:val="00BC0AD2"/>
    <w:rsid w:val="00BC17F2"/>
    <w:rsid w:val="00BC2B17"/>
    <w:rsid w:val="00BC3447"/>
    <w:rsid w:val="00BC60A6"/>
    <w:rsid w:val="00BD0271"/>
    <w:rsid w:val="00BD0998"/>
    <w:rsid w:val="00BD6369"/>
    <w:rsid w:val="00BE76C9"/>
    <w:rsid w:val="00BF1BC4"/>
    <w:rsid w:val="00BF302E"/>
    <w:rsid w:val="00BF3238"/>
    <w:rsid w:val="00BF3527"/>
    <w:rsid w:val="00BF5B03"/>
    <w:rsid w:val="00BF5DB9"/>
    <w:rsid w:val="00BF75B8"/>
    <w:rsid w:val="00C04AC9"/>
    <w:rsid w:val="00C06EC9"/>
    <w:rsid w:val="00C10649"/>
    <w:rsid w:val="00C1226D"/>
    <w:rsid w:val="00C145D0"/>
    <w:rsid w:val="00C16509"/>
    <w:rsid w:val="00C2164F"/>
    <w:rsid w:val="00C30599"/>
    <w:rsid w:val="00C33755"/>
    <w:rsid w:val="00C33A06"/>
    <w:rsid w:val="00C353B6"/>
    <w:rsid w:val="00C36366"/>
    <w:rsid w:val="00C36A94"/>
    <w:rsid w:val="00C37133"/>
    <w:rsid w:val="00C376BC"/>
    <w:rsid w:val="00C42946"/>
    <w:rsid w:val="00C469C3"/>
    <w:rsid w:val="00C47AEB"/>
    <w:rsid w:val="00C53446"/>
    <w:rsid w:val="00C53EF7"/>
    <w:rsid w:val="00C57526"/>
    <w:rsid w:val="00C65C5D"/>
    <w:rsid w:val="00C7396E"/>
    <w:rsid w:val="00C77E80"/>
    <w:rsid w:val="00C8018C"/>
    <w:rsid w:val="00C806D1"/>
    <w:rsid w:val="00C80BC7"/>
    <w:rsid w:val="00C80E0B"/>
    <w:rsid w:val="00C84C48"/>
    <w:rsid w:val="00C871FF"/>
    <w:rsid w:val="00C8730C"/>
    <w:rsid w:val="00C87953"/>
    <w:rsid w:val="00C87FC9"/>
    <w:rsid w:val="00C929E1"/>
    <w:rsid w:val="00C955AF"/>
    <w:rsid w:val="00C95D9E"/>
    <w:rsid w:val="00CA05DF"/>
    <w:rsid w:val="00CA3B60"/>
    <w:rsid w:val="00CA420D"/>
    <w:rsid w:val="00CB3546"/>
    <w:rsid w:val="00CB5F30"/>
    <w:rsid w:val="00CB7AB3"/>
    <w:rsid w:val="00CC1DDD"/>
    <w:rsid w:val="00CD2D8E"/>
    <w:rsid w:val="00CD5801"/>
    <w:rsid w:val="00CD5A9D"/>
    <w:rsid w:val="00CD7801"/>
    <w:rsid w:val="00CE014A"/>
    <w:rsid w:val="00CE108C"/>
    <w:rsid w:val="00CE4B71"/>
    <w:rsid w:val="00CE56FD"/>
    <w:rsid w:val="00CE5C60"/>
    <w:rsid w:val="00CF41AD"/>
    <w:rsid w:val="00D024EA"/>
    <w:rsid w:val="00D03782"/>
    <w:rsid w:val="00D07830"/>
    <w:rsid w:val="00D10AF1"/>
    <w:rsid w:val="00D13012"/>
    <w:rsid w:val="00D1570A"/>
    <w:rsid w:val="00D2045C"/>
    <w:rsid w:val="00D220CD"/>
    <w:rsid w:val="00D231C2"/>
    <w:rsid w:val="00D249AE"/>
    <w:rsid w:val="00D31EBF"/>
    <w:rsid w:val="00D3292D"/>
    <w:rsid w:val="00D33A64"/>
    <w:rsid w:val="00D33AAF"/>
    <w:rsid w:val="00D33D9A"/>
    <w:rsid w:val="00D373FE"/>
    <w:rsid w:val="00D40D61"/>
    <w:rsid w:val="00D41B61"/>
    <w:rsid w:val="00D46C6A"/>
    <w:rsid w:val="00D503BA"/>
    <w:rsid w:val="00D5394F"/>
    <w:rsid w:val="00D63ACD"/>
    <w:rsid w:val="00D66D29"/>
    <w:rsid w:val="00D673A2"/>
    <w:rsid w:val="00D70091"/>
    <w:rsid w:val="00D71953"/>
    <w:rsid w:val="00D7788F"/>
    <w:rsid w:val="00D862C0"/>
    <w:rsid w:val="00D86390"/>
    <w:rsid w:val="00D863C3"/>
    <w:rsid w:val="00D949EA"/>
    <w:rsid w:val="00D95DD5"/>
    <w:rsid w:val="00DA1C57"/>
    <w:rsid w:val="00DA5173"/>
    <w:rsid w:val="00DA69E0"/>
    <w:rsid w:val="00DB1FDF"/>
    <w:rsid w:val="00DC2C76"/>
    <w:rsid w:val="00DC4392"/>
    <w:rsid w:val="00DC4448"/>
    <w:rsid w:val="00DC738C"/>
    <w:rsid w:val="00DD0D34"/>
    <w:rsid w:val="00DD1647"/>
    <w:rsid w:val="00DD2478"/>
    <w:rsid w:val="00DD60B2"/>
    <w:rsid w:val="00DE056F"/>
    <w:rsid w:val="00DE4233"/>
    <w:rsid w:val="00DE490C"/>
    <w:rsid w:val="00DE6CD3"/>
    <w:rsid w:val="00DE6F9E"/>
    <w:rsid w:val="00DF16B6"/>
    <w:rsid w:val="00DF3462"/>
    <w:rsid w:val="00DF4D25"/>
    <w:rsid w:val="00DF77CF"/>
    <w:rsid w:val="00DF7A9E"/>
    <w:rsid w:val="00E10260"/>
    <w:rsid w:val="00E119F6"/>
    <w:rsid w:val="00E1465B"/>
    <w:rsid w:val="00E14923"/>
    <w:rsid w:val="00E16E70"/>
    <w:rsid w:val="00E2131B"/>
    <w:rsid w:val="00E26CD9"/>
    <w:rsid w:val="00E2753C"/>
    <w:rsid w:val="00E41172"/>
    <w:rsid w:val="00E45A4C"/>
    <w:rsid w:val="00E5068C"/>
    <w:rsid w:val="00E52B6A"/>
    <w:rsid w:val="00E578D5"/>
    <w:rsid w:val="00E60740"/>
    <w:rsid w:val="00E6094B"/>
    <w:rsid w:val="00E61B11"/>
    <w:rsid w:val="00E6215B"/>
    <w:rsid w:val="00E656DB"/>
    <w:rsid w:val="00E66C23"/>
    <w:rsid w:val="00E715C9"/>
    <w:rsid w:val="00E75482"/>
    <w:rsid w:val="00E76D0A"/>
    <w:rsid w:val="00E82988"/>
    <w:rsid w:val="00E93BA8"/>
    <w:rsid w:val="00E96DC9"/>
    <w:rsid w:val="00EA13AB"/>
    <w:rsid w:val="00EA2598"/>
    <w:rsid w:val="00EA2912"/>
    <w:rsid w:val="00EA4823"/>
    <w:rsid w:val="00EB2C6A"/>
    <w:rsid w:val="00EB4D62"/>
    <w:rsid w:val="00EB6FA3"/>
    <w:rsid w:val="00EC7119"/>
    <w:rsid w:val="00EC7580"/>
    <w:rsid w:val="00ED1C28"/>
    <w:rsid w:val="00ED77E9"/>
    <w:rsid w:val="00EE11EC"/>
    <w:rsid w:val="00EE2609"/>
    <w:rsid w:val="00EE4723"/>
    <w:rsid w:val="00EE4BE9"/>
    <w:rsid w:val="00EE589A"/>
    <w:rsid w:val="00EF02C7"/>
    <w:rsid w:val="00EF14A2"/>
    <w:rsid w:val="00EF7876"/>
    <w:rsid w:val="00F0033A"/>
    <w:rsid w:val="00F00D5B"/>
    <w:rsid w:val="00F01022"/>
    <w:rsid w:val="00F0692A"/>
    <w:rsid w:val="00F14669"/>
    <w:rsid w:val="00F17452"/>
    <w:rsid w:val="00F221EE"/>
    <w:rsid w:val="00F2576D"/>
    <w:rsid w:val="00F35559"/>
    <w:rsid w:val="00F37CC0"/>
    <w:rsid w:val="00F421F6"/>
    <w:rsid w:val="00F440D3"/>
    <w:rsid w:val="00F441A0"/>
    <w:rsid w:val="00F516C3"/>
    <w:rsid w:val="00F525D2"/>
    <w:rsid w:val="00F52E7B"/>
    <w:rsid w:val="00F64647"/>
    <w:rsid w:val="00F64C5B"/>
    <w:rsid w:val="00F65EBF"/>
    <w:rsid w:val="00F66500"/>
    <w:rsid w:val="00F667F8"/>
    <w:rsid w:val="00F71221"/>
    <w:rsid w:val="00F72A5D"/>
    <w:rsid w:val="00F735EE"/>
    <w:rsid w:val="00F7717C"/>
    <w:rsid w:val="00F7763C"/>
    <w:rsid w:val="00F77DD3"/>
    <w:rsid w:val="00F81F76"/>
    <w:rsid w:val="00F925CC"/>
    <w:rsid w:val="00F93A32"/>
    <w:rsid w:val="00F93B6C"/>
    <w:rsid w:val="00F94401"/>
    <w:rsid w:val="00F95FCD"/>
    <w:rsid w:val="00F96C84"/>
    <w:rsid w:val="00FA096D"/>
    <w:rsid w:val="00FA0E9C"/>
    <w:rsid w:val="00FA13EA"/>
    <w:rsid w:val="00FA1B28"/>
    <w:rsid w:val="00FA1CA8"/>
    <w:rsid w:val="00FA30C2"/>
    <w:rsid w:val="00FA5C74"/>
    <w:rsid w:val="00FB2AFB"/>
    <w:rsid w:val="00FB6048"/>
    <w:rsid w:val="00FB6761"/>
    <w:rsid w:val="00FC0AA5"/>
    <w:rsid w:val="00FC327F"/>
    <w:rsid w:val="00FC47D3"/>
    <w:rsid w:val="00FC6226"/>
    <w:rsid w:val="00FC77B4"/>
    <w:rsid w:val="00FD1C03"/>
    <w:rsid w:val="00FD3698"/>
    <w:rsid w:val="00FD57E8"/>
    <w:rsid w:val="00FD5832"/>
    <w:rsid w:val="00FD7DA9"/>
    <w:rsid w:val="00FE51B2"/>
    <w:rsid w:val="00FE59DD"/>
    <w:rsid w:val="00FE7A4D"/>
    <w:rsid w:val="00FF341D"/>
    <w:rsid w:val="00FF41C8"/>
    <w:rsid w:val="00FF5EED"/>
    <w:rsid w:val="01305D43"/>
    <w:rsid w:val="025E09CB"/>
    <w:rsid w:val="026924F0"/>
    <w:rsid w:val="026E4495"/>
    <w:rsid w:val="02FA082F"/>
    <w:rsid w:val="037800D1"/>
    <w:rsid w:val="04926F71"/>
    <w:rsid w:val="054932BA"/>
    <w:rsid w:val="057129D3"/>
    <w:rsid w:val="05D709B3"/>
    <w:rsid w:val="06A6594F"/>
    <w:rsid w:val="06B01930"/>
    <w:rsid w:val="06B44D8B"/>
    <w:rsid w:val="071A324D"/>
    <w:rsid w:val="07433CDF"/>
    <w:rsid w:val="075229E7"/>
    <w:rsid w:val="076771BB"/>
    <w:rsid w:val="078037A4"/>
    <w:rsid w:val="07F6611A"/>
    <w:rsid w:val="088D2621"/>
    <w:rsid w:val="089F7EAE"/>
    <w:rsid w:val="09A66E7A"/>
    <w:rsid w:val="09C9105F"/>
    <w:rsid w:val="09CB3087"/>
    <w:rsid w:val="09D75426"/>
    <w:rsid w:val="0ACB05CC"/>
    <w:rsid w:val="0B676BC7"/>
    <w:rsid w:val="0B8909A2"/>
    <w:rsid w:val="0B9C06D5"/>
    <w:rsid w:val="0BBD2BB0"/>
    <w:rsid w:val="0C055F79"/>
    <w:rsid w:val="0C7025A6"/>
    <w:rsid w:val="0CBD4DA7"/>
    <w:rsid w:val="0CFC02CE"/>
    <w:rsid w:val="0D0314F2"/>
    <w:rsid w:val="0D696CDD"/>
    <w:rsid w:val="0D8D48AD"/>
    <w:rsid w:val="0DA94E9B"/>
    <w:rsid w:val="0DDC49F2"/>
    <w:rsid w:val="0F2D4582"/>
    <w:rsid w:val="0F6F1A71"/>
    <w:rsid w:val="0F7A388C"/>
    <w:rsid w:val="0F873C21"/>
    <w:rsid w:val="0F9F2542"/>
    <w:rsid w:val="0FEE0B17"/>
    <w:rsid w:val="11362F18"/>
    <w:rsid w:val="119C4CA2"/>
    <w:rsid w:val="11B20CAD"/>
    <w:rsid w:val="14096B23"/>
    <w:rsid w:val="145B58F4"/>
    <w:rsid w:val="152E4B28"/>
    <w:rsid w:val="153B2DC4"/>
    <w:rsid w:val="1571672E"/>
    <w:rsid w:val="15FD457F"/>
    <w:rsid w:val="162F05B8"/>
    <w:rsid w:val="170D117A"/>
    <w:rsid w:val="17457E73"/>
    <w:rsid w:val="175B04BD"/>
    <w:rsid w:val="178C4351"/>
    <w:rsid w:val="178E35DB"/>
    <w:rsid w:val="1876405C"/>
    <w:rsid w:val="19671773"/>
    <w:rsid w:val="1AAE21D3"/>
    <w:rsid w:val="1B23671D"/>
    <w:rsid w:val="1CA761AC"/>
    <w:rsid w:val="1D0C4F8F"/>
    <w:rsid w:val="1D920BFF"/>
    <w:rsid w:val="1E601B17"/>
    <w:rsid w:val="1EC651AE"/>
    <w:rsid w:val="1F57270D"/>
    <w:rsid w:val="1FA10259"/>
    <w:rsid w:val="1FDE2C12"/>
    <w:rsid w:val="201A61E2"/>
    <w:rsid w:val="20AA5C8C"/>
    <w:rsid w:val="21020B82"/>
    <w:rsid w:val="212C3E51"/>
    <w:rsid w:val="22F86DBE"/>
    <w:rsid w:val="23F30C56"/>
    <w:rsid w:val="24EC2BCC"/>
    <w:rsid w:val="252E2A06"/>
    <w:rsid w:val="26216157"/>
    <w:rsid w:val="26711FE7"/>
    <w:rsid w:val="26923B70"/>
    <w:rsid w:val="26946BF3"/>
    <w:rsid w:val="26BA3FAA"/>
    <w:rsid w:val="26F5680D"/>
    <w:rsid w:val="26FD4086"/>
    <w:rsid w:val="27383550"/>
    <w:rsid w:val="28326196"/>
    <w:rsid w:val="29AA7730"/>
    <w:rsid w:val="29DF5F05"/>
    <w:rsid w:val="2A9F38E6"/>
    <w:rsid w:val="2ADD3FD6"/>
    <w:rsid w:val="2B28065B"/>
    <w:rsid w:val="2B693CA8"/>
    <w:rsid w:val="2BD43776"/>
    <w:rsid w:val="2C9C3292"/>
    <w:rsid w:val="2CD65241"/>
    <w:rsid w:val="2D0143E4"/>
    <w:rsid w:val="2DD31608"/>
    <w:rsid w:val="2F35056B"/>
    <w:rsid w:val="2FEA115F"/>
    <w:rsid w:val="31880C30"/>
    <w:rsid w:val="320025CF"/>
    <w:rsid w:val="3239017C"/>
    <w:rsid w:val="32987E37"/>
    <w:rsid w:val="330B1B18"/>
    <w:rsid w:val="33472E5A"/>
    <w:rsid w:val="335465EA"/>
    <w:rsid w:val="33552D94"/>
    <w:rsid w:val="33744DF3"/>
    <w:rsid w:val="33EA25D1"/>
    <w:rsid w:val="340622E0"/>
    <w:rsid w:val="343F30C2"/>
    <w:rsid w:val="344F0100"/>
    <w:rsid w:val="34A851AC"/>
    <w:rsid w:val="34CB37C1"/>
    <w:rsid w:val="34E350AD"/>
    <w:rsid w:val="35BE573C"/>
    <w:rsid w:val="36392E40"/>
    <w:rsid w:val="369A0C36"/>
    <w:rsid w:val="37CA3C84"/>
    <w:rsid w:val="38305977"/>
    <w:rsid w:val="38AA3B82"/>
    <w:rsid w:val="3A3A050C"/>
    <w:rsid w:val="3AA60379"/>
    <w:rsid w:val="3B270464"/>
    <w:rsid w:val="3C8842CA"/>
    <w:rsid w:val="3D453E79"/>
    <w:rsid w:val="3D5440BC"/>
    <w:rsid w:val="3E832EAB"/>
    <w:rsid w:val="3E977EF6"/>
    <w:rsid w:val="3EF838B4"/>
    <w:rsid w:val="3EFF1FBE"/>
    <w:rsid w:val="3F4C2112"/>
    <w:rsid w:val="3FE47979"/>
    <w:rsid w:val="40752CC7"/>
    <w:rsid w:val="40825413"/>
    <w:rsid w:val="419201E3"/>
    <w:rsid w:val="41AD6A24"/>
    <w:rsid w:val="41E573A0"/>
    <w:rsid w:val="42097B6B"/>
    <w:rsid w:val="42870A90"/>
    <w:rsid w:val="432F790C"/>
    <w:rsid w:val="456B6447"/>
    <w:rsid w:val="45795008"/>
    <w:rsid w:val="459736E0"/>
    <w:rsid w:val="465712A6"/>
    <w:rsid w:val="47CA0A61"/>
    <w:rsid w:val="485F103F"/>
    <w:rsid w:val="48820675"/>
    <w:rsid w:val="48D72771"/>
    <w:rsid w:val="4A0B5164"/>
    <w:rsid w:val="4B2E23EB"/>
    <w:rsid w:val="4B9A315F"/>
    <w:rsid w:val="4C2A7225"/>
    <w:rsid w:val="4CA010CC"/>
    <w:rsid w:val="4D701F66"/>
    <w:rsid w:val="4DAF20F3"/>
    <w:rsid w:val="4DDC7CF4"/>
    <w:rsid w:val="4DDE00FE"/>
    <w:rsid w:val="4E0132B2"/>
    <w:rsid w:val="4E21412C"/>
    <w:rsid w:val="4E8C3CF2"/>
    <w:rsid w:val="4EDD75EA"/>
    <w:rsid w:val="4F020CDE"/>
    <w:rsid w:val="4F67205C"/>
    <w:rsid w:val="4F871016"/>
    <w:rsid w:val="4FEC63D6"/>
    <w:rsid w:val="503D0A00"/>
    <w:rsid w:val="50591CBD"/>
    <w:rsid w:val="527E052D"/>
    <w:rsid w:val="52D7336D"/>
    <w:rsid w:val="52EA4395"/>
    <w:rsid w:val="53083527"/>
    <w:rsid w:val="538368E3"/>
    <w:rsid w:val="544B5DC1"/>
    <w:rsid w:val="546F55A1"/>
    <w:rsid w:val="547075D6"/>
    <w:rsid w:val="54F8415F"/>
    <w:rsid w:val="551F66C5"/>
    <w:rsid w:val="555A6776"/>
    <w:rsid w:val="55717950"/>
    <w:rsid w:val="55731D92"/>
    <w:rsid w:val="55A20422"/>
    <w:rsid w:val="55B14F66"/>
    <w:rsid w:val="55BA0C1D"/>
    <w:rsid w:val="55C519A5"/>
    <w:rsid w:val="55D3606E"/>
    <w:rsid w:val="55E77580"/>
    <w:rsid w:val="57DF5B38"/>
    <w:rsid w:val="57DF7F3A"/>
    <w:rsid w:val="583A2254"/>
    <w:rsid w:val="58900ED4"/>
    <w:rsid w:val="593B13DE"/>
    <w:rsid w:val="59EF3692"/>
    <w:rsid w:val="5A2B5352"/>
    <w:rsid w:val="5AC91B39"/>
    <w:rsid w:val="5BBC35E9"/>
    <w:rsid w:val="5C292E8C"/>
    <w:rsid w:val="5CC06434"/>
    <w:rsid w:val="5CED210B"/>
    <w:rsid w:val="5D9B1B67"/>
    <w:rsid w:val="5ECE15AF"/>
    <w:rsid w:val="5ED43B27"/>
    <w:rsid w:val="5F5024DD"/>
    <w:rsid w:val="60083690"/>
    <w:rsid w:val="6028394A"/>
    <w:rsid w:val="604F6C39"/>
    <w:rsid w:val="60613DF2"/>
    <w:rsid w:val="6111589E"/>
    <w:rsid w:val="6186626B"/>
    <w:rsid w:val="61AF3E37"/>
    <w:rsid w:val="62A73D90"/>
    <w:rsid w:val="63091321"/>
    <w:rsid w:val="6331222E"/>
    <w:rsid w:val="63373A3B"/>
    <w:rsid w:val="634A724C"/>
    <w:rsid w:val="637203BD"/>
    <w:rsid w:val="63EB4ECB"/>
    <w:rsid w:val="64511EFD"/>
    <w:rsid w:val="6470738B"/>
    <w:rsid w:val="64732E3C"/>
    <w:rsid w:val="6545060B"/>
    <w:rsid w:val="66137D93"/>
    <w:rsid w:val="677105B3"/>
    <w:rsid w:val="67835EF6"/>
    <w:rsid w:val="678C42CF"/>
    <w:rsid w:val="68955405"/>
    <w:rsid w:val="68C60DDB"/>
    <w:rsid w:val="68E372EA"/>
    <w:rsid w:val="6946379A"/>
    <w:rsid w:val="69547463"/>
    <w:rsid w:val="69C7733D"/>
    <w:rsid w:val="69D81A4D"/>
    <w:rsid w:val="6A470981"/>
    <w:rsid w:val="6A531C45"/>
    <w:rsid w:val="6AF02DC7"/>
    <w:rsid w:val="6BE20F27"/>
    <w:rsid w:val="6D875ECB"/>
    <w:rsid w:val="6D9F4F30"/>
    <w:rsid w:val="6DD843E9"/>
    <w:rsid w:val="6DF826BE"/>
    <w:rsid w:val="6E5B49FB"/>
    <w:rsid w:val="6E70494A"/>
    <w:rsid w:val="6F021127"/>
    <w:rsid w:val="6F050E53"/>
    <w:rsid w:val="6F1B2B08"/>
    <w:rsid w:val="6F3E5FCD"/>
    <w:rsid w:val="6F993A2D"/>
    <w:rsid w:val="6FA41CD5"/>
    <w:rsid w:val="6FCC795E"/>
    <w:rsid w:val="6FE02D58"/>
    <w:rsid w:val="6FE83A4F"/>
    <w:rsid w:val="70612B56"/>
    <w:rsid w:val="70691532"/>
    <w:rsid w:val="70BE4E07"/>
    <w:rsid w:val="711F61B4"/>
    <w:rsid w:val="71CA5941"/>
    <w:rsid w:val="71F144E0"/>
    <w:rsid w:val="71F554DC"/>
    <w:rsid w:val="72D00D26"/>
    <w:rsid w:val="73076EFF"/>
    <w:rsid w:val="73631126"/>
    <w:rsid w:val="73A56AF4"/>
    <w:rsid w:val="73F43927"/>
    <w:rsid w:val="74505E59"/>
    <w:rsid w:val="74E15BF3"/>
    <w:rsid w:val="74EA523B"/>
    <w:rsid w:val="75A849CA"/>
    <w:rsid w:val="75CE5420"/>
    <w:rsid w:val="7662726E"/>
    <w:rsid w:val="769F78E8"/>
    <w:rsid w:val="76C07AF1"/>
    <w:rsid w:val="77361A6A"/>
    <w:rsid w:val="783217FE"/>
    <w:rsid w:val="787761E7"/>
    <w:rsid w:val="794B6EAC"/>
    <w:rsid w:val="796B643A"/>
    <w:rsid w:val="799D6A87"/>
    <w:rsid w:val="79FB4C82"/>
    <w:rsid w:val="7A456C8B"/>
    <w:rsid w:val="7A49633D"/>
    <w:rsid w:val="7AA52F13"/>
    <w:rsid w:val="7B4D4721"/>
    <w:rsid w:val="7BF75C42"/>
    <w:rsid w:val="7C8F0691"/>
    <w:rsid w:val="7CCF5FCA"/>
    <w:rsid w:val="7E285FC5"/>
    <w:rsid w:val="7EE51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80" w:firstLineChars="200"/>
      <w:jc w:val="both"/>
    </w:pPr>
    <w:rPr>
      <w:rFonts w:ascii="Times New Roman" w:hAnsi="Times New Roman" w:eastAsia="宋体" w:cs="Times New Roman"/>
      <w:sz w:val="24"/>
      <w:szCs w:val="24"/>
      <w:lang w:val="en-US" w:eastAsia="zh-CN" w:bidi="ar-SA"/>
    </w:rPr>
  </w:style>
  <w:style w:type="paragraph" w:styleId="2">
    <w:name w:val="heading 2"/>
    <w:basedOn w:val="1"/>
    <w:next w:val="1"/>
    <w:autoRedefine/>
    <w:qFormat/>
    <w:uiPriority w:val="0"/>
    <w:pPr>
      <w:keepNext/>
      <w:keepLines/>
      <w:numPr>
        <w:ilvl w:val="0"/>
        <w:numId w:val="1"/>
      </w:numPr>
      <w:outlineLvl w:val="1"/>
    </w:pPr>
    <w:rPr>
      <w:rFonts w:eastAsia="黑体"/>
      <w:bCs/>
      <w:szCs w:val="32"/>
    </w:rPr>
  </w:style>
  <w:style w:type="paragraph" w:styleId="3">
    <w:name w:val="heading 3"/>
    <w:basedOn w:val="1"/>
    <w:next w:val="1"/>
    <w:autoRedefine/>
    <w:semiHidden/>
    <w:unhideWhenUsed/>
    <w:qFormat/>
    <w:uiPriority w:val="0"/>
    <w:pPr>
      <w:spacing w:beforeAutospacing="1" w:afterAutospacing="1"/>
      <w:jc w:val="left"/>
      <w:outlineLvl w:val="2"/>
    </w:pPr>
    <w:rPr>
      <w:rFonts w:hint="eastAsia" w:ascii="宋体" w:hAnsi="宋体"/>
      <w:b/>
      <w:sz w:val="27"/>
      <w:szCs w:val="27"/>
    </w:rPr>
  </w:style>
  <w:style w:type="paragraph" w:styleId="4">
    <w:name w:val="heading 4"/>
    <w:basedOn w:val="1"/>
    <w:next w:val="1"/>
    <w:link w:val="31"/>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autoRedefine/>
    <w:unhideWhenUsed/>
    <w:qFormat/>
    <w:uiPriority w:val="35"/>
    <w:pPr>
      <w:jc w:val="center"/>
    </w:pPr>
    <w:rPr>
      <w:rFonts w:eastAsia="仿宋" w:cstheme="majorBidi"/>
    </w:rPr>
  </w:style>
  <w:style w:type="paragraph" w:styleId="6">
    <w:name w:val="Document Map"/>
    <w:basedOn w:val="1"/>
    <w:link w:val="23"/>
    <w:autoRedefine/>
    <w:qFormat/>
    <w:uiPriority w:val="0"/>
    <w:rPr>
      <w:rFonts w:ascii="宋体"/>
      <w:sz w:val="18"/>
      <w:szCs w:val="18"/>
    </w:rPr>
  </w:style>
  <w:style w:type="paragraph" w:styleId="7">
    <w:name w:val="annotation text"/>
    <w:basedOn w:val="1"/>
    <w:autoRedefine/>
    <w:semiHidden/>
    <w:unhideWhenUsed/>
    <w:qFormat/>
    <w:uiPriority w:val="0"/>
    <w:pPr>
      <w:jc w:val="left"/>
    </w:pPr>
  </w:style>
  <w:style w:type="paragraph" w:styleId="8">
    <w:name w:val="Balloon Text"/>
    <w:basedOn w:val="1"/>
    <w:link w:val="21"/>
    <w:autoRedefine/>
    <w:qFormat/>
    <w:uiPriority w:val="0"/>
    <w:rPr>
      <w:sz w:val="18"/>
      <w:szCs w:val="18"/>
    </w:rPr>
  </w:style>
  <w:style w:type="paragraph" w:styleId="9">
    <w:name w:val="footer"/>
    <w:basedOn w:val="1"/>
    <w:autoRedefine/>
    <w:semiHidden/>
    <w:qFormat/>
    <w:uiPriority w:val="0"/>
    <w:pPr>
      <w:tabs>
        <w:tab w:val="center" w:pos="4153"/>
        <w:tab w:val="right" w:pos="8306"/>
      </w:tabs>
      <w:snapToGrid w:val="0"/>
      <w:jc w:val="left"/>
    </w:pPr>
    <w:rPr>
      <w:sz w:val="18"/>
    </w:rPr>
  </w:style>
  <w:style w:type="paragraph" w:styleId="10">
    <w:name w:val="header"/>
    <w:basedOn w:val="1"/>
    <w:link w:val="20"/>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semiHidden/>
    <w:unhideWhenUsed/>
    <w:qFormat/>
    <w:uiPriority w:val="0"/>
    <w:pPr>
      <w:spacing w:beforeAutospacing="1" w:afterAutospacing="1"/>
      <w:jc w:val="left"/>
    </w:p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autoRedefine/>
    <w:qFormat/>
    <w:uiPriority w:val="0"/>
    <w:rPr>
      <w:b/>
      <w:bCs/>
    </w:rPr>
  </w:style>
  <w:style w:type="character" w:styleId="16">
    <w:name w:val="page number"/>
    <w:basedOn w:val="14"/>
    <w:autoRedefine/>
    <w:semiHidden/>
    <w:qFormat/>
    <w:uiPriority w:val="0"/>
  </w:style>
  <w:style w:type="character" w:styleId="17">
    <w:name w:val="Emphasis"/>
    <w:basedOn w:val="14"/>
    <w:autoRedefine/>
    <w:qFormat/>
    <w:uiPriority w:val="0"/>
    <w:rPr>
      <w:i/>
    </w:rPr>
  </w:style>
  <w:style w:type="character" w:styleId="18">
    <w:name w:val="Hyperlink"/>
    <w:basedOn w:val="14"/>
    <w:autoRedefine/>
    <w:semiHidden/>
    <w:unhideWhenUsed/>
    <w:qFormat/>
    <w:uiPriority w:val="0"/>
    <w:rPr>
      <w:color w:val="0000FF"/>
      <w:u w:val="single"/>
    </w:rPr>
  </w:style>
  <w:style w:type="paragraph" w:customStyle="1" w:styleId="19">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20">
    <w:name w:val="页眉 字符"/>
    <w:link w:val="10"/>
    <w:autoRedefine/>
    <w:qFormat/>
    <w:uiPriority w:val="0"/>
    <w:rPr>
      <w:kern w:val="2"/>
      <w:sz w:val="18"/>
      <w:szCs w:val="18"/>
    </w:rPr>
  </w:style>
  <w:style w:type="character" w:customStyle="1" w:styleId="21">
    <w:name w:val="批注框文本 字符"/>
    <w:link w:val="8"/>
    <w:autoRedefine/>
    <w:qFormat/>
    <w:uiPriority w:val="0"/>
    <w:rPr>
      <w:kern w:val="2"/>
      <w:sz w:val="18"/>
      <w:szCs w:val="18"/>
    </w:rPr>
  </w:style>
  <w:style w:type="paragraph" w:customStyle="1" w:styleId="22">
    <w:name w:val="二级条文2"/>
    <w:basedOn w:val="1"/>
    <w:autoRedefine/>
    <w:qFormat/>
    <w:uiPriority w:val="0"/>
    <w:pPr>
      <w:widowControl/>
      <w:spacing w:after="160" w:line="240" w:lineRule="exact"/>
      <w:jc w:val="left"/>
    </w:pPr>
    <w:rPr>
      <w:rFonts w:ascii="Verdana" w:hAnsi="Verdana" w:eastAsia="仿宋_GB2312"/>
      <w:lang w:eastAsia="en-US"/>
    </w:rPr>
  </w:style>
  <w:style w:type="character" w:customStyle="1" w:styleId="23">
    <w:name w:val="文档结构图 字符"/>
    <w:basedOn w:val="14"/>
    <w:link w:val="6"/>
    <w:autoRedefine/>
    <w:qFormat/>
    <w:uiPriority w:val="0"/>
    <w:rPr>
      <w:rFonts w:ascii="宋体"/>
      <w:kern w:val="2"/>
      <w:sz w:val="18"/>
      <w:szCs w:val="18"/>
    </w:rPr>
  </w:style>
  <w:style w:type="paragraph" w:customStyle="1" w:styleId="24">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5">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6">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styleId="27">
    <w:name w:val="List Paragraph"/>
    <w:basedOn w:val="1"/>
    <w:autoRedefine/>
    <w:qFormat/>
    <w:uiPriority w:val="34"/>
    <w:pPr>
      <w:ind w:firstLine="420"/>
    </w:pPr>
  </w:style>
  <w:style w:type="character" w:customStyle="1" w:styleId="28">
    <w:name w:val="段 Char"/>
    <w:basedOn w:val="14"/>
    <w:autoRedefine/>
    <w:qFormat/>
    <w:uiPriority w:val="0"/>
    <w:rPr>
      <w:rFonts w:hint="eastAsia" w:ascii="宋体" w:hAnsi="宋体" w:eastAsia="宋体" w:cs="宋体"/>
      <w:sz w:val="21"/>
    </w:rPr>
  </w:style>
  <w:style w:type="paragraph" w:customStyle="1" w:styleId="29">
    <w:name w:val="一级条标题"/>
    <w:basedOn w:val="1"/>
    <w:next w:val="1"/>
    <w:autoRedefine/>
    <w:qFormat/>
    <w:uiPriority w:val="0"/>
    <w:pPr>
      <w:widowControl/>
      <w:tabs>
        <w:tab w:val="left" w:pos="360"/>
      </w:tabs>
      <w:spacing w:beforeLines="50" w:afterLines="50"/>
      <w:jc w:val="left"/>
      <w:outlineLvl w:val="2"/>
    </w:pPr>
    <w:rPr>
      <w:rFonts w:hint="eastAsia" w:ascii="黑体" w:eastAsia="黑体"/>
      <w:szCs w:val="21"/>
    </w:rPr>
  </w:style>
  <w:style w:type="paragraph" w:customStyle="1" w:styleId="30">
    <w:name w:val="注：（正文）"/>
    <w:basedOn w:val="1"/>
    <w:next w:val="1"/>
    <w:autoRedefine/>
    <w:qFormat/>
    <w:uiPriority w:val="0"/>
    <w:pPr>
      <w:numPr>
        <w:ilvl w:val="0"/>
        <w:numId w:val="2"/>
      </w:numPr>
      <w:autoSpaceDE w:val="0"/>
      <w:autoSpaceDN w:val="0"/>
    </w:pPr>
    <w:rPr>
      <w:rFonts w:hint="eastAsia" w:ascii="宋体"/>
      <w:sz w:val="18"/>
      <w:szCs w:val="18"/>
    </w:rPr>
  </w:style>
  <w:style w:type="character" w:customStyle="1" w:styleId="31">
    <w:name w:val="标题 4 字符"/>
    <w:basedOn w:val="14"/>
    <w:link w:val="4"/>
    <w:autoRedefine/>
    <w:semiHidden/>
    <w:qFormat/>
    <w:uiPriority w:val="0"/>
    <w:rPr>
      <w:rFonts w:asciiTheme="majorHAnsi" w:hAnsiTheme="majorHAnsi" w:eastAsiaTheme="majorEastAsia" w:cstheme="majorBidi"/>
      <w:b/>
      <w:bCs/>
      <w:kern w:val="2"/>
      <w:sz w:val="28"/>
      <w:szCs w:val="28"/>
    </w:rPr>
  </w:style>
  <w:style w:type="paragraph" w:customStyle="1" w:styleId="32">
    <w:name w:val="标准文件_正文图标题"/>
    <w:next w:val="1"/>
    <w:autoRedefine/>
    <w:qFormat/>
    <w:uiPriority w:val="0"/>
    <w:pPr>
      <w:numPr>
        <w:ilvl w:val="0"/>
        <w:numId w:val="3"/>
      </w:numPr>
      <w:spacing w:beforeLines="50" w:afterLines="50"/>
      <w:jc w:val="center"/>
    </w:pPr>
    <w:rPr>
      <w:rFonts w:ascii="黑体" w:hAnsi="Times New Roman" w:eastAsia="黑体" w:cs="Times New Roman"/>
      <w:sz w:val="21"/>
      <w:lang w:val="en-US" w:eastAsia="zh-CN" w:bidi="ar-SA"/>
    </w:rPr>
  </w:style>
  <w:style w:type="paragraph" w:customStyle="1" w:styleId="33">
    <w:name w:val="标准文件_段"/>
    <w:link w:val="34"/>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4">
    <w:name w:val="标准文件_段 Char"/>
    <w:link w:val="33"/>
    <w:autoRedefine/>
    <w:qFormat/>
    <w:uiPriority w:val="0"/>
    <w:rPr>
      <w:rFonts w:ascii="宋体" w:hAnsi="Times New Roman" w:cs="Times New Roman"/>
      <w:sz w:val="21"/>
    </w:rPr>
  </w:style>
  <w:style w:type="paragraph" w:customStyle="1" w:styleId="35">
    <w:name w:val="标准文件_一级条标题"/>
    <w:basedOn w:val="36"/>
    <w:next w:val="33"/>
    <w:autoRedefine/>
    <w:qFormat/>
    <w:uiPriority w:val="0"/>
    <w:pPr>
      <w:numPr>
        <w:ilvl w:val="2"/>
      </w:numPr>
      <w:spacing w:before="50" w:beforeLines="50" w:after="50" w:afterLines="50"/>
      <w:outlineLvl w:val="1"/>
    </w:pPr>
  </w:style>
  <w:style w:type="paragraph" w:customStyle="1" w:styleId="36">
    <w:name w:val="标准文件_章标题"/>
    <w:next w:val="33"/>
    <w:autoRedefine/>
    <w:qFormat/>
    <w:uiPriority w:val="0"/>
    <w:pPr>
      <w:numPr>
        <w:ilvl w:val="1"/>
        <w:numId w:val="4"/>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7">
    <w:name w:val="标准文件_三级无标题"/>
    <w:basedOn w:val="38"/>
    <w:autoRedefine/>
    <w:qFormat/>
    <w:uiPriority w:val="0"/>
    <w:pPr>
      <w:spacing w:before="0" w:beforeLines="0" w:after="0" w:afterLines="0"/>
      <w:outlineLvl w:val="9"/>
    </w:pPr>
    <w:rPr>
      <w:rFonts w:ascii="宋体" w:eastAsia="宋体"/>
    </w:rPr>
  </w:style>
  <w:style w:type="paragraph" w:customStyle="1" w:styleId="38">
    <w:name w:val="标准文件_三级条标题"/>
    <w:basedOn w:val="39"/>
    <w:next w:val="33"/>
    <w:autoRedefine/>
    <w:qFormat/>
    <w:uiPriority w:val="0"/>
    <w:pPr>
      <w:widowControl/>
      <w:outlineLvl w:val="3"/>
    </w:pPr>
  </w:style>
  <w:style w:type="paragraph" w:customStyle="1" w:styleId="39">
    <w:name w:val="标准文件_二级条标题"/>
    <w:next w:val="33"/>
    <w:autoRedefine/>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0">
    <w:name w:val="标准文件_二级无标题"/>
    <w:autoRedefine/>
    <w:qFormat/>
    <w:uiPriority w:val="0"/>
    <w:pPr>
      <w:widowControl w:val="0"/>
      <w:numPr>
        <w:ilvl w:val="3"/>
        <w:numId w:val="5"/>
      </w:numPr>
      <w:jc w:val="both"/>
    </w:pPr>
    <w:rPr>
      <w:rFonts w:hint="eastAsia" w:ascii="宋体" w:hAnsi="Times New Roman" w:eastAsia="宋体" w:cs="Times New Roman"/>
      <w:sz w:val="21"/>
      <w:lang w:val="en-US" w:eastAsia="zh-CN" w:bidi="ar-SA"/>
    </w:rPr>
  </w:style>
  <w:style w:type="paragraph" w:customStyle="1" w:styleId="41">
    <w:name w:val="标准文件_一级项"/>
    <w:basedOn w:val="1"/>
    <w:autoRedefine/>
    <w:qFormat/>
    <w:uiPriority w:val="0"/>
    <w:pPr>
      <w:widowControl/>
      <w:numPr>
        <w:ilvl w:val="0"/>
        <w:numId w:val="6"/>
      </w:numPr>
      <w:jc w:val="left"/>
    </w:pPr>
    <w:rPr>
      <w:rFonts w:hint="eastAsia" w:ascii="宋体"/>
    </w:rPr>
  </w:style>
  <w:style w:type="paragraph" w:customStyle="1" w:styleId="42">
    <w:name w:val="标准文件_注："/>
    <w:basedOn w:val="1"/>
    <w:next w:val="1"/>
    <w:autoRedefine/>
    <w:qFormat/>
    <w:uiPriority w:val="0"/>
    <w:pPr>
      <w:numPr>
        <w:ilvl w:val="0"/>
        <w:numId w:val="7"/>
      </w:numPr>
      <w:autoSpaceDE w:val="0"/>
      <w:autoSpaceDN w:val="0"/>
    </w:pPr>
    <w:rPr>
      <w:rFonts w:hint="eastAsia" w:ascii="宋体"/>
      <w:sz w:val="18"/>
      <w:szCs w:val="18"/>
    </w:rPr>
  </w:style>
  <w:style w:type="paragraph" w:customStyle="1" w:styleId="43">
    <w:name w:val="Revision"/>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0f9640e2-0064-4e3c-8c0a-33120701b46d</errorID>
      <errorWord>起草编制</errorWord>
      <group>L1_Grammar</group>
      <groupName>语法问题</groupName>
      <ability>L2_Grammar</ability>
      <abilityName>语法错误</abilityName>
      <candidateList>
        <item>起草</item>
      </candidateList>
      <explain/>
      <paraID>2A3A24C9</paraID>
      <start>233</start>
      <end>237</end>
      <status>unmodified</status>
      <modifiedWord/>
      <trackRevisions>false</trackRevisions>
    </reviewItem>
    <reviewItem>
      <errorID>118ea552-6d38-466f-a281-6bcb76bd5981</errorID>
      <errorWord>中国农资流通协会</errorWord>
      <group>L1_Other</group>
      <groupName>其他问题</groupName>
      <ability>L2_Consistency</ability>
      <abilityName>一致性检查</abilityName>
      <candidateList>
        <item>中国农业生产资料流通协会</item>
      </candidateList>
      <explain>实体一致性问题，文档中多处使用‘中国农业生产资料流通协会’，‘中国农资流通协会’表述不一致</explain>
      <paraID>1A1AFF0D</paraID>
      <start>35</start>
      <end>55</end>
      <status>modified</status>
      <modifiedWord>中国农业生产资料流通协会</modifiedWord>
      <trackRevisions>true</trackRevisions>
    </reviewItem>
    <reviewItem>
      <errorID>d9d4871a-d209-407e-bf98-5d522ade1933</errorID>
      <errorWord> 粮食仓库建设标准</errorWord>
      <group>L1_Punc</group>
      <groupName>标点问题</groupName>
      <ability>L2_Punc</ability>
      <abilityName>标点符号检查</abilityName>
      <candidateList>
        <item>《粮食仓库建设标准》</item>
      </candidateList>
      <explain/>
      <paraID>3FB74BB3</paraID>
      <start>13</start>
      <end>22</end>
      <status>unmodified</status>
      <modifiedWord/>
      <trackRevisions>false</trackRevisions>
    </reviewItem>
    <reviewItem>
      <errorID>d05dd98f-6ee3-476c-9ef1-3a301c90eb0b</errorID>
      <errorWord> 农业生产资料连锁经营网络配送中心建设与管理规范</errorWord>
      <group>L1_Punc</group>
      <groupName>标点问题</groupName>
      <ability>L2_Punc</ability>
      <abilityName>标点符号检查</abilityName>
      <candidateList>
        <item>《农业生产资料连锁经营网络配送中心建设与管理规范》</item>
      </candidateList>
      <explain/>
      <paraID>4F635BA6</paraID>
      <start>10</start>
      <end>34</end>
      <status>unmodified</status>
      <modifiedWord/>
      <trackRevisions>false</trackRevisions>
    </reviewItem>
    <reviewItem>
      <errorID>0a8c18dd-072e-4d4b-8dc5-4cc0799e831f</errorID>
      <errorWord> 庄稼医院建设与管理规范</errorWord>
      <group>L1_Punc</group>
      <groupName>标点问题</groupName>
      <ability>L2_Punc</ability>
      <abilityName>标点符号检查</abilityName>
      <candidateList>
        <item>《庄稼医院建设与管理规范》</item>
      </candidateList>
      <explain/>
      <paraID>1BB84BA1</paraID>
      <start>11</start>
      <end>23</end>
      <status>unmodified</status>
      <modifiedWord/>
      <trackRevisions>false</trackRevisions>
    </reviewItem>
    <reviewItem>
      <errorID>3925564c-2510-4d24-b7f7-b0fa901bff58</errorID>
      <errorWord> 农资质量追溯体系建设规范</errorWord>
      <group>L1_Punc</group>
      <groupName>标点问题</groupName>
      <ability>L2_Punc</ability>
      <abilityName>标点符号检查</abilityName>
      <candidateList>
        <item>《农资质量追溯体系建设规范》</item>
      </candidateList>
      <explain/>
      <paraID>39D80F1C</paraID>
      <start>11</start>
      <end>24</end>
      <status>unmodified</status>
      <modifiedWord/>
      <trackRevisions>false</trackRevisions>
    </reviewItem>
    <reviewItem>
      <errorID>2b4f29de-3385-4560-8661-8872a98e9471</errorID>
      <errorWord> 安全标志及其使用导则</errorWord>
      <group>L1_Punc</group>
      <groupName>标点问题</groupName>
      <ability>L2_Punc</ability>
      <abilityName>标点符号检查</abilityName>
      <candidateList>
        <item>《安全标志及其使用导则》</item>
      </candidateList>
      <explain/>
      <paraID>4CEBD697</paraID>
      <start>8</start>
      <end>19</end>
      <status>unmodified</status>
      <modifiedWord/>
      <trackRevisions>false</trackRevisions>
    </reviewItem>
    <reviewItem>
      <errorID>f5542b8a-e0a0-482e-bc07-5a0d23873826</errorID>
      <errorWord> 生活饮用水卫生标准</errorWord>
      <group>L1_Punc</group>
      <groupName>标点问题</groupName>
      <ability>L2_Punc</ability>
      <abilityName>标点符号检查</abilityName>
      <candidateList>
        <item>《生活饮用水卫生标准》</item>
      </candidateList>
      <explain/>
      <paraID>48FAD7BB</paraID>
      <start>9</start>
      <end>19</end>
      <status>unmodified</status>
      <modifiedWord/>
      <trackRevisions>false</trackRevisions>
    </reviewItem>
    <reviewItem>
      <errorID>a2f806ee-189d-42eb-8c7f-31d13c718f15</errorID>
      <errorWord> 危险化学品仓库储存通则</errorWord>
      <group>L1_Punc</group>
      <groupName>标点问题</groupName>
      <ability>L2_Punc</ability>
      <abilityName>标点符号检查</abilityName>
      <candidateList>
        <item>《危险化学品仓库储存通则》</item>
      </candidateList>
      <explain/>
      <paraID> E943015</paraID>
      <start>9</start>
      <end>21</end>
      <status>unmodified</status>
      <modifiedWord/>
      <trackRevisions>false</trackRevisions>
    </reviewItem>
    <reviewItem>
      <errorID>c44da393-ccc1-427d-9da7-ba88a60aacaf</errorID>
      <errorWord> 通用仓库及库区规划设计参数</errorWord>
      <group>L1_Punc</group>
      <groupName>标点问题</groupName>
      <ability>L2_Punc</ability>
      <abilityName>标点符号检查</abilityName>
      <candidateList>
        <item>《通用仓库及库区规划设计参数》</item>
      </candidateList>
      <explain/>
      <paraID>66054535</paraID>
      <start>11</start>
      <end>25</end>
      <status>unmodified</status>
      <modifiedWord/>
      <trackRevisions>false</trackRevisions>
    </reviewItem>
    <reviewItem>
      <errorID>75b6deeb-5bda-4599-8204-c28ca71b297e</errorID>
      <errorWord> 农业生产资料供应服务 农资仓储服务规范</errorWord>
      <group>L1_Punc</group>
      <groupName>标点问题</groupName>
      <ability>L2_Punc</ability>
      <abilityName>标点符号检查</abilityName>
      <candidateList>
        <item>《农业生产资料供应服务 农资仓储服务规范》</item>
      </candidateList>
      <explain/>
      <paraID>733CE934</paraID>
      <start>16</start>
      <end>36</end>
      <status>unmodified</status>
      <modifiedWord/>
      <trackRevisions>false</trackRevisions>
    </reviewItem>
    <reviewItem>
      <errorID>45ec2272-1929-4b53-8544-be016b1ae00e</errorID>
      <errorWord> 农业生产资料供应服务 农资供应商评价规范</errorWord>
      <group>L1_Punc</group>
      <groupName>标点问题</groupName>
      <ability>L2_Punc</ability>
      <abilityName>标点符号检查</abilityName>
      <candidateList>
        <item>《农业生产资料供应服务 农资供应商评价规范》</item>
      </candidateList>
      <explain/>
      <paraID>53FEDC62</paraID>
      <start>16</start>
      <end>37</end>
      <status>unmodified</status>
      <modifiedWord/>
      <trackRevisions>false</trackRevisions>
    </reviewItem>
    <reviewItem>
      <errorID>4148a112-5535-4e34-985c-adf7b36ce86b</errorID>
      <errorWord> 建筑设计防火规范</errorWord>
      <group>L1_Punc</group>
      <groupName>标点问题</groupName>
      <ability>L2_Punc</ability>
      <abilityName>标点符号检查</abilityName>
      <candidateList>
        <item>《建筑设计防火规范》</item>
      </candidateList>
      <explain/>
      <paraID> 2CB5FC3</paraID>
      <start>9</start>
      <end>18</end>
      <status>unmodified</status>
      <modifiedWord/>
      <trackRevisions>false</trackRevisions>
    </reviewItem>
    <reviewItem>
      <errorID>49cd2a2f-8e7f-44ea-9d6b-dac5dc6c4d39</errorID>
      <errorWord> 工业企业总平面设计规范</errorWord>
      <group>L1_Punc</group>
      <groupName>标点问题</groupName>
      <ability>L2_Punc</ability>
      <abilityName>标点符号检查</abilityName>
      <candidateList>
        <item>《工业企业总平面设计规范》</item>
      </candidateList>
      <explain/>
      <paraID>4F2576A8</paraID>
      <start>14</start>
      <end>26</end>
      <status>unmodified</status>
      <modifiedWord/>
      <trackRevisions>false</trackRevisions>
    </reviewItem>
    <reviewItem>
      <errorID>c4473bbc-df58-4e19-aa0f-60f605222242</errorID>
      <errorWord> 物流建筑设计规范</errorWord>
      <group>L1_Punc</group>
      <groupName>标点问题</groupName>
      <ability>L2_Punc</ability>
      <abilityName>标点符号检查</abilityName>
      <candidateList>
        <item>《物流建筑设计规范》</item>
      </candidateList>
      <explain/>
      <paraID>6B45FB6C</paraID>
      <start>9</start>
      <end>18</end>
      <status>unmodified</status>
      <modifiedWord/>
      <trackRevisions>false</trackRevisions>
    </reviewItem>
    <reviewItem>
      <errorID>832256ed-bc22-4e9b-9919-b02ac89c36cc</errorID>
      <errorWord> 民用建筑通用规范</errorWord>
      <group>L1_Punc</group>
      <groupName>标点问题</groupName>
      <ability>L2_Punc</ability>
      <abilityName>标点符号检查</abilityName>
      <candidateList>
        <item>《民用建筑通用规范》</item>
      </candidateList>
      <explain/>
      <paraID>76CB60C2</paraID>
      <start>9</start>
      <end>18</end>
      <status>unmodified</status>
      <modifiedWord/>
      <trackRevisions>false</trackRevisions>
    </reviewItem>
    <reviewItem>
      <errorID>e669a3f5-852a-4756-8019-b7876c78d89a</errorID>
      <errorWord> 建筑防火通用规范</errorWord>
      <group>L1_Punc</group>
      <groupName>标点问题</groupName>
      <ability>L2_Punc</ability>
      <abilityName>标点符号检查</abilityName>
      <candidateList>
        <item>《建筑防火通用规范》</item>
      </candidateList>
      <explain/>
      <paraID> A9B3202</paraID>
      <start>9</start>
      <end>18</end>
      <status>unmodified</status>
      <modifiedWord/>
      <trackRevisions>false</trackRevisions>
    </reviewItem>
    <reviewItem>
      <errorID>15e4abeb-4ea9-45d4-9d7a-0f04f6c4a97e</errorID>
      <errorWord> 绿色仓库要求与评价</errorWord>
      <group>L1_Punc</group>
      <groupName>标点问题</groupName>
      <ability>L2_Punc</ability>
      <abilityName>标点符号检查</abilityName>
      <candidateList>
        <item>《绿色仓库要求与评价》</item>
      </candidateList>
      <explain/>
      <paraID>31EB6B11</paraID>
      <start>11</start>
      <end>21</end>
      <status>unmodified</status>
      <modifiedWord/>
      <trackRevisions>false</trackRevisions>
    </reviewItem>
    <reviewItem>
      <errorID>4e4e2991-f046-4306-aadb-9a89d30c3fef</errorID>
      <errorWord> </errorWord>
      <group>L1_Punc</group>
      <groupName>标点问题</groupName>
      <ability>L2_Punc</ability>
      <abilityName>标点符号检查</abilityName>
      <candidateList>
        <item/>
      </candidateList>
      <explain>此处空格冗余，建议删除。</explain>
      <paraID>2216944F</paraID>
      <start>15</start>
      <end>16</end>
      <status>unmodified</status>
      <modifiedWord/>
      <trackRevisions>false</trackRevisions>
    </reviewItem>
    <reviewItem>
      <errorID>c94ad157-81bc-4321-9789-796d7841337f</errorID>
      <errorWord>〔1990〕第6号</errorWord>
      <group>L1_Knowledge</group>
      <groupName>知识性问题</groupName>
      <ability>L2_Knowledge</ability>
      <abilityName>其他知识</abilityName>
      <candidateList>
        <item>〔1990〕6号</item>
      </candidateList>
      <explain>发文字号格式错误。</explain>
      <paraID>2EEBFE06</paraID>
      <start>14</start>
      <end>23</end>
      <status>unmodified</status>
      <modifiedWord/>
      <trackRevisions>false</trackRevisions>
    </reviewItem>
    <reviewItem>
      <errorID>5eb7fb94-03fa-4c0f-a650-211bd01ae777</errorID>
      <errorWord>〔2009〕第106号</errorWord>
      <group>L1_Knowledge</group>
      <groupName>知识性问题</groupName>
      <ability>L2_Knowledge</ability>
      <abilityName>其他知识</abilityName>
      <candidateList>
        <item>〔2009〕106号</item>
      </candidateList>
      <explain>发文字号格式错误。</explain>
      <paraID>55090736</paraID>
      <start>16</start>
      <end>27</end>
      <status>unmodified</status>
      <modifiedWord/>
      <trackRevisions>false</trackRevisions>
    </reviewItem>
    <reviewItem>
      <errorID>e04c268c-bdc7-41a7-a68c-02f42a6ab290</errorID>
      <errorWord>&lt;</errorWord>
      <group>L1_Format</group>
      <groupName>格式问题</groupName>
      <ability>L2_HalfPunc</ability>
      <abilityName>全半角检查</abilityName>
      <candidateList>
        <item>〈</item>
      </candidateList>
      <explain>文本全半角错误。</explain>
      <paraID>4F49ACE0</paraID>
      <start>7</start>
      <end>8</end>
      <status>unmodified</status>
      <modifiedWord/>
      <trackRevisions>false</trackRevisions>
    </reviewItem>
    <reviewItem>
      <errorID>bac10d5a-9a6e-449d-909a-98c82d4bdeda</errorID>
      <errorWord>&gt;的通知》</errorWord>
      <group>L1_Punc</group>
      <groupName>标点问题</groupName>
      <ability>L2_Punc</ability>
      <abilityName>标点符号检查</abilityName>
      <candidateList>
        <item>〉的通知》</item>
      </candidateList>
      <explain/>
      <paraID>4F49ACE0</paraID>
      <start>20</start>
      <end>25</end>
      <status>unmodified</status>
      <modifiedWord/>
      <trackRevisions>false</trackRevisions>
    </reviewItem>
    <reviewItem>
      <errorID>29cd4299-42f3-4917-9b35-46780442b86a</errorID>
      <errorWord>&lt;</errorWord>
      <group>L1_Format</group>
      <groupName>格式问题</groupName>
      <ability>L2_HalfPunc</ability>
      <abilityName>全半角检查</abilityName>
      <candidateList>
        <item>〈</item>
      </candidateList>
      <explain>文本全半角错误。</explain>
      <paraID>489F2B4A</paraID>
      <start>29</start>
      <end>30</end>
      <status>unmodified</status>
      <modifiedWord/>
      <trackRevisions>false</trackRevisions>
    </reviewItem>
    <reviewItem>
      <errorID>42df33a0-dcfa-4ac3-94f4-e3521af1b503</errorID>
      <errorWord>&gt;的通知》</errorWord>
      <group>L1_Punc</group>
      <groupName>标点问题</groupName>
      <ability>L2_Punc</ability>
      <abilityName>标点符号检查</abilityName>
      <candidateList>
        <item>〉的通知》</item>
      </candidateList>
      <explain/>
      <paraID>489F2B4A</paraID>
      <start>42</start>
      <end>47</end>
      <status>unmodified</status>
      <modifiedWord/>
      <trackRevisions>false</trackRevisions>
    </reviewItem>
    <reviewItem>
      <errorID>a9fe952d-9cc7-42a4-9d54-e75ffd2e1fdc</errorID>
      <errorWord>&lt;</errorWord>
      <group>L1_Format</group>
      <groupName>格式问题</groupName>
      <ability>L2_HalfPunc</ability>
      <abilityName>全半角检查</abilityName>
      <candidateList>
        <item>〈</item>
      </candidateList>
      <explain>文本全半角错误。</explain>
      <paraID>6CC1BF0C</paraID>
      <start>15</start>
      <end>16</end>
      <status>unmodified</status>
      <modifiedWord/>
      <trackRevisions>false</trackRevisions>
    </reviewItem>
    <reviewItem>
      <errorID>7cd13387-c8f7-43e8-904a-408a81afed8d</errorID>
      <errorWord>&gt;的通知》</errorWord>
      <group>L1_Punc</group>
      <groupName>标点问题</groupName>
      <ability>L2_Punc</ability>
      <abilityName>标点符号检查</abilityName>
      <candidateList>
        <item>〉的通知》</item>
      </candidateList>
      <explain/>
      <paraID>6CC1BF0C</paraID>
      <start>47</start>
      <end>52</end>
      <status>unmodified</status>
      <modifiedWord/>
      <trackRevisions>false</trackRevisions>
    </reviewItem>
    <reviewItem>
      <errorID>0566fa49-064e-4d37-bda9-b075fce026e7</errorID>
      <errorWord>。</errorWord>
      <group>L1_Grammar</group>
      <groupName>语法问题</groupName>
      <ability>L2_Grammar</ability>
      <abilityName>语法错误</abilityName>
      <candidateList>
        <item>的目的。</item>
      </candidateList>
      <explain/>
      <paraID>38411C16</paraID>
      <start>72</start>
      <end>73</end>
      <status>unmodified</status>
      <modifiedWord/>
      <trackRevisions>false</trackRevisions>
    </reviewItem>
    <reviewItem>
      <errorID>d363d302-0fd5-4de4-9473-8e18edfb0453</errorID>
      <errorWord>1、</errorWord>
      <group>L1_Format</group>
      <groupName>格式问题</groupName>
      <ability>L2_Ordinal</ability>
      <abilityName>序号格式</abilityName>
      <candidateList>
        <item>1. </item>
      </candidateList>
      <explain>标题顺序错误，请检查标题顺序是否合理。</explain>
      <paraID>6C54F4BD</paraID>
      <start>0</start>
      <end>5</end>
      <status>modified</status>
      <modifiedWord>1. </modifiedWord>
      <trackRevisions>true</trackRevisions>
    </reviewItem>
    <reviewItem>
      <errorID>5d33777a-2a54-4c32-aa1f-abc5f869df67</errorID>
      <errorWord>2、</errorWord>
      <group>L1_Format</group>
      <groupName>格式问题</groupName>
      <ability>L2_Ordinal</ability>
      <abilityName>序号格式</abilityName>
      <candidateList>
        <item>2. </item>
      </candidateList>
      <explain>标题顺序错误，请检查标题顺序是否合理。</explain>
      <paraID> 14B41BC</paraID>
      <start>0</start>
      <end>2</end>
      <status>unmodified</status>
      <modifiedWord/>
      <trackRevisions>false</trackRevisions>
    </reviewItem>
    <reviewItem>
      <errorID>a7f70fe6-c037-4cf2-b36a-c32db2055891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53B14B4D</paraID>
      <start>0</start>
      <end>2</end>
      <status>unmodified</status>
      <modifiedWord/>
      <trackRevisions>false</trackRevisions>
    </reviewItem>
    <reviewItem>
      <errorID>6762c014-d599-4ed4-bf11-2db4289aa3d3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4A8EE7C9</paraID>
      <start>0</start>
      <end>2</end>
      <status>unmodified</status>
      <modifiedWord/>
      <trackRevisions>false</trackRevisions>
    </reviewItem>
    <reviewItem>
      <errorID>bc1ddd06-b835-4633-8b3f-7970f2261daa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57DEA3F9</paraID>
      <start>0</start>
      <end>2</end>
      <status>unmodified</status>
      <modifiedWord/>
      <trackRevisions>false</trackRevisions>
    </reviewItem>
    <reviewItem>
      <errorID>4a5603ca-19a5-450b-ad38-708c15e3810e</errorID>
      <errorWord>平米</errorWord>
      <group>L1_Word</group>
      <groupName>字词问题</groupName>
      <ability>L2_Typo</ability>
      <abilityName>字词错误</abilityName>
      <candidateList>
        <item>平方米</item>
      </candidateList>
      <explain/>
      <paraID> F0E631D</paraID>
      <start>219</start>
      <end>221</end>
      <status>unmodified</status>
      <modifiedWord/>
      <trackRevisions>false</trackRevisions>
    </reviewItem>
    <reviewItem>
      <errorID>9fabbabf-9391-4384-a658-cb79ba0fc070</errorID>
      <errorWord>少于</errorWord>
      <group>L1_Word</group>
      <groupName>字词问题</groupName>
      <ability>L2_Typo</ability>
      <abilityName>字词错误</abilityName>
      <candidateList>
        <item>小于</item>
      </candidateList>
      <explain>存在字形相近字词的误用。</explain>
      <paraID> F0E631D</paraID>
      <start>230</start>
      <end>232</end>
      <status>unmodified</status>
      <modifiedWord/>
      <trackRevisions>false</trackRevisions>
    </reviewItem>
    <reviewItem>
      <errorID>d8acdeac-f68d-4737-8148-9db9d2fd2d2e</errorID>
      <errorWord> </errorWord>
      <group>L1_Punc</group>
      <groupName>标点问题</groupName>
      <ability>L2_Punc</ability>
      <abilityName>标点符号检查</abilityName>
      <candidateList>
        <item/>
      </candidateList>
      <explain>此处空格冗余，建议删除。</explain>
      <paraID>615B522B</paraID>
      <start>173</start>
      <end>174</end>
      <status>unmodified</status>
      <modifiedWord/>
      <trackRevisions>false</trackRevisions>
    </reviewItem>
    <reviewItem>
      <errorID>a4396384-7110-482e-8e79-f60214f7d149</errorID>
      <errorWord> </errorWord>
      <group>L1_Punc</group>
      <groupName>标点问题</groupName>
      <ability>L2_Punc</ability>
      <abilityName>标点符号检查</abilityName>
      <candidateList>
        <item/>
      </candidateList>
      <explain>此处空格冗余，建议删除。</explain>
      <paraID>615B522B</paraID>
      <start>177</start>
      <end>178</end>
      <status>unmodified</status>
      <modifiedWord/>
      <trackRevisions>false</trackRevisions>
    </reviewItem>
    <reviewItem>
      <errorID>b676749e-dbe8-4612-bd74-22d7109d977a</errorID>
      <errorWord>）的</errorWord>
      <group>L1_Word</group>
      <groupName>字词问题</groupName>
      <ability>L2_Typo</ability>
      <abilityName>字词错误</abilityName>
      <candidateList>
        <item>）</item>
      </candidateList>
      <explain/>
      <paraID>7CF0DA14</paraID>
      <start>28</start>
      <end>30</end>
      <status>unmodified</status>
      <modifiedWord/>
      <trackRevisions>false</trackRevisions>
    </reviewItem>
    <reviewItem>
      <errorID>a950e4a2-c55e-445f-947f-e2d82696a757</errorID>
      <errorWord>是</errorWord>
      <group>L1_Grammar</group>
      <groupName>语法问题</groupName>
      <ability>L2_Grammar</ability>
      <abilityName>语法错误</abilityName>
      <candidateList>
        <item>，这是</item>
      </candidateList>
      <explain/>
      <paraID>68109DAE</paraID>
      <start>19</start>
      <end>20</end>
      <status>unmodified</status>
      <modifiedWord/>
      <trackRevisions>false</trackRevisions>
    </reviewItem>
    <reviewItem>
      <errorID>819980ec-5f58-4ae4-8d0e-43af0ae901db</errorID>
      <errorWord>。</errorWord>
      <group>L1_Word</group>
      <groupName>字词问题</groupName>
      <ability>L2_Typo</ability>
      <abilityName>字词错误</abilityName>
      <candidateList>
        <item>的。</item>
      </candidateList>
      <explain/>
      <paraID>68109DAE</paraID>
      <start>30</start>
      <end>31</end>
      <status>unmodified</status>
      <modifiedWord/>
      <trackRevisions>false</trackRevisions>
    </reviewItem>
    <reviewItem>
      <errorID>a1497237-ba74-492b-a88e-0e0f652d4ad3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5A7D6121</paraID>
      <start>0</start>
      <end>2</end>
      <status>unmodified</status>
      <modifiedWord/>
      <trackRevisions>false</trackRevisions>
    </reviewItem>
    <reviewItem>
      <errorID>1717dc5d-755c-4b1f-9e88-622e35aed66f</errorID>
      <errorWord>管理要求</errorWord>
      <group>L1_Grammar</group>
      <groupName>语法问题</groupName>
      <ability>L2_Grammar</ability>
      <abilityName>语法错误</abilityName>
      <candidateList>
        <item>，</item>
      </candidateList>
      <explain/>
      <paraID>31A7E39F</paraID>
      <start>30</start>
      <end>34</end>
      <status>unmodified</status>
      <modifiedWord/>
      <trackRevisions>false</trackRevisions>
    </reviewItem>
    <reviewItem>
      <errorID>34fbad7f-65ec-447b-8111-15dcf5ed5763</errorID>
      <errorWord>法律、法规</errorWord>
      <group>L1_Word</group>
      <groupName>字词问题</groupName>
      <ability>L2_Typo</ability>
      <abilityName>字词错误</abilityName>
      <candidateList>
        <item>法律法规</item>
      </candidateList>
      <explain/>
      <paraID>267CC3F1</paraID>
      <start>6</start>
      <end>11</end>
      <status>unmodified</status>
      <modifiedWord/>
      <trackRevisions>false</trackRevisions>
    </reviewItem>
    <reviewItem>
      <errorID>fde33431-a9ca-4b66-a9dd-dcf27b498fdd</errorID>
      <errorWord>法律、法规</errorWord>
      <group>L1_Word</group>
      <groupName>字词问题</groupName>
      <ability>L2_Typo</ability>
      <abilityName>字词错误</abilityName>
      <candidateList>
        <item>法律法规</item>
      </candidateList>
      <explain/>
      <paraID>31A3B1D5</paraID>
      <start>12</start>
      <end>17</end>
      <status>unmodified</status>
      <modifiedWord/>
      <trackRevisions>false</trackRevisions>
    </reviewItem>
    <reviewItem>
      <errorID>efe54167-4d10-48e7-9c06-4cc332368720</errorID>
      <errorWord>该标准</errorWord>
      <group>L1_Grammar</group>
      <groupName>语法问题</groupName>
      <ability>L2_Grammar</ability>
      <abilityName>语法错误</abilityName>
      <candidateList>
        <item>后</item>
      </candidateList>
      <explain/>
      <paraID>2FCF1D99</paraID>
      <start>6</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586218-6c49-485e-9ed1-ab67e8d35845}">
  <ds:schemaRefs/>
</ds:datastoreItem>
</file>

<file path=docProps/app.xml><?xml version="1.0" encoding="utf-8"?>
<Properties xmlns="http://schemas.openxmlformats.org/officeDocument/2006/extended-properties" xmlns:vt="http://schemas.openxmlformats.org/officeDocument/2006/docPropsVTypes">
  <Template>Normal</Template>
  <Company>cnis</Company>
  <Pages>10</Pages>
  <Words>6827</Words>
  <Characters>7343</Characters>
  <Lines>72</Lines>
  <Paragraphs>20</Paragraphs>
  <TotalTime>6</TotalTime>
  <ScaleCrop>false</ScaleCrop>
  <LinksUpToDate>false</LinksUpToDate>
  <CharactersWithSpaces>7434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2024-01-26T04:01:00Z</dcterms:created>
  <dc:creator>chl</dc:creator>
  <cp:lastModifiedBy>董振波</cp:lastModifiedBy>
  <cp:lastPrinted>2024-01-26T04:00:00Z</cp:lastPrinted>
  <dcterms:modified xsi:type="dcterms:W3CDTF">2026-04-27T00:40:07Z</dcterms:modified>
  <dc:title>《消费品质量安全风险信息采集和处理指南》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RubyTemplateID" linkTarget="0">
    <vt:lpwstr>6</vt:lpwstr>
  </property>
  <property fmtid="{D5CDD505-2E9C-101B-9397-08002B2CF9AE}" pid="4" name="ICV">
    <vt:lpwstr>36557223B84F4200A628DEC49CAE863F_13</vt:lpwstr>
  </property>
  <property fmtid="{D5CDD505-2E9C-101B-9397-08002B2CF9AE}" pid="5" name="KSOTemplateDocerSaveRecord">
    <vt:lpwstr>eyJoZGlkIjoiYjY4Yjg0ZWZhODFjY2E5NDM3NjA1YTI5N2ZhNDdjNDciLCJ1c2VySWQiOiIzOTAzMzg5NjEifQ==</vt:lpwstr>
  </property>
</Properties>
</file>