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C4B923">
      <w:pPr>
        <w:autoSpaceDE w:val="0"/>
        <w:autoSpaceDN w:val="0"/>
        <w:spacing w:before="100" w:beforeAutospacing="1" w:after="100" w:afterAutospacing="1" w:line="560" w:lineRule="exact"/>
        <w:jc w:val="center"/>
        <w:rPr>
          <w:rFonts w:ascii="方正小标宋简体" w:eastAsia="方正小标宋简体"/>
          <w:b/>
          <w:bCs/>
          <w:sz w:val="28"/>
          <w:szCs w:val="28"/>
        </w:rPr>
      </w:pPr>
    </w:p>
    <w:p w14:paraId="65AAA724">
      <w:pPr>
        <w:autoSpaceDE w:val="0"/>
        <w:autoSpaceDN w:val="0"/>
        <w:spacing w:before="100" w:beforeAutospacing="1" w:after="100" w:afterAutospacing="1" w:line="560" w:lineRule="exact"/>
        <w:jc w:val="center"/>
        <w:rPr>
          <w:rFonts w:hint="eastAsia" w:ascii="黑体" w:hAnsi="黑体" w:eastAsia="黑体"/>
          <w:b/>
          <w:bCs/>
          <w:sz w:val="40"/>
          <w:szCs w:val="40"/>
        </w:rPr>
      </w:pPr>
      <w:r>
        <w:rPr>
          <w:rFonts w:hint="eastAsia" w:ascii="黑体" w:hAnsi="黑体" w:eastAsia="黑体"/>
          <w:b/>
          <w:bCs/>
          <w:sz w:val="40"/>
          <w:szCs w:val="40"/>
        </w:rPr>
        <w:t>《</w:t>
      </w:r>
      <w:r>
        <w:rPr>
          <w:rFonts w:hint="eastAsia" w:ascii="黑体" w:hAnsi="黑体" w:eastAsia="黑体"/>
          <w:b/>
          <w:color w:val="000000"/>
          <w:sz w:val="40"/>
          <w:szCs w:val="40"/>
        </w:rPr>
        <w:t>农资仓储信息化建设规范</w:t>
      </w:r>
      <w:r>
        <w:rPr>
          <w:rFonts w:hint="eastAsia" w:ascii="黑体" w:hAnsi="黑体" w:eastAsia="黑体"/>
          <w:b/>
          <w:bCs/>
          <w:sz w:val="40"/>
          <w:szCs w:val="40"/>
        </w:rPr>
        <w:t>》</w:t>
      </w:r>
    </w:p>
    <w:p w14:paraId="24D20BC1">
      <w:pPr>
        <w:autoSpaceDE w:val="0"/>
        <w:autoSpaceDN w:val="0"/>
        <w:spacing w:before="100" w:beforeAutospacing="1" w:after="100" w:afterAutospacing="1" w:line="560" w:lineRule="exact"/>
        <w:jc w:val="center"/>
        <w:rPr>
          <w:rFonts w:eastAsia="仿宋_GB2312"/>
          <w:b/>
          <w:bCs/>
          <w:sz w:val="30"/>
          <w:szCs w:val="30"/>
        </w:rPr>
      </w:pPr>
      <w:r>
        <w:rPr>
          <w:rFonts w:hint="eastAsia" w:ascii="黑体" w:hAnsi="黑体" w:eastAsia="黑体"/>
          <w:b/>
          <w:bCs/>
          <w:sz w:val="30"/>
          <w:szCs w:val="30"/>
        </w:rPr>
        <w:t>供销合作行业标准</w:t>
      </w:r>
    </w:p>
    <w:p w14:paraId="6CCF6186">
      <w:pPr>
        <w:autoSpaceDE w:val="0"/>
        <w:autoSpaceDN w:val="0"/>
        <w:spacing w:before="100" w:beforeAutospacing="1" w:after="100" w:afterAutospacing="1" w:line="560" w:lineRule="exact"/>
        <w:jc w:val="center"/>
        <w:outlineLvl w:val="0"/>
        <w:rPr>
          <w:rFonts w:hint="eastAsia" w:ascii="黑体" w:hAnsi="黑体" w:eastAsia="黑体"/>
          <w:b/>
          <w:bCs/>
          <w:sz w:val="30"/>
          <w:szCs w:val="30"/>
        </w:rPr>
      </w:pPr>
      <w:bookmarkStart w:id="0" w:name="_Toc10176"/>
      <w:bookmarkStart w:id="1" w:name="_Toc21897"/>
      <w:bookmarkStart w:id="2" w:name="_Toc14293"/>
      <w:bookmarkStart w:id="3" w:name="_Toc6073"/>
      <w:bookmarkStart w:id="4" w:name="_Toc16990"/>
      <w:bookmarkStart w:id="5" w:name="_Toc26872"/>
      <w:bookmarkStart w:id="6" w:name="_Toc13932"/>
      <w:bookmarkStart w:id="7" w:name="_Toc27037"/>
      <w:bookmarkStart w:id="8" w:name="_Toc1662"/>
      <w:bookmarkStart w:id="9" w:name="_Toc7845"/>
      <w:r>
        <w:rPr>
          <w:rFonts w:hint="eastAsia" w:ascii="黑体" w:hAnsi="黑体" w:eastAsia="黑体"/>
          <w:b/>
          <w:bCs/>
          <w:sz w:val="30"/>
          <w:szCs w:val="30"/>
        </w:rPr>
        <w:t>（征求意见稿）</w:t>
      </w:r>
      <w:bookmarkEnd w:id="0"/>
      <w:bookmarkEnd w:id="1"/>
      <w:bookmarkEnd w:id="2"/>
      <w:bookmarkEnd w:id="3"/>
      <w:bookmarkEnd w:id="4"/>
      <w:bookmarkEnd w:id="5"/>
      <w:bookmarkEnd w:id="6"/>
      <w:bookmarkEnd w:id="7"/>
      <w:bookmarkEnd w:id="8"/>
      <w:bookmarkEnd w:id="9"/>
    </w:p>
    <w:p w14:paraId="2D1681EF">
      <w:pPr>
        <w:autoSpaceDE w:val="0"/>
        <w:autoSpaceDN w:val="0"/>
        <w:spacing w:before="100" w:beforeAutospacing="1" w:after="100" w:afterAutospacing="1" w:line="560" w:lineRule="exact"/>
        <w:jc w:val="center"/>
        <w:rPr>
          <w:rFonts w:eastAsia="仿宋_GB2312"/>
          <w:b/>
          <w:bCs/>
          <w:sz w:val="28"/>
          <w:szCs w:val="28"/>
        </w:rPr>
      </w:pPr>
    </w:p>
    <w:p w14:paraId="0397B06C">
      <w:pPr>
        <w:autoSpaceDE w:val="0"/>
        <w:autoSpaceDN w:val="0"/>
        <w:spacing w:before="100" w:beforeAutospacing="1" w:after="100" w:afterAutospacing="1" w:line="560" w:lineRule="exact"/>
        <w:jc w:val="center"/>
        <w:rPr>
          <w:rFonts w:eastAsia="仿宋_GB2312"/>
          <w:b/>
          <w:bCs/>
          <w:sz w:val="28"/>
          <w:szCs w:val="28"/>
        </w:rPr>
      </w:pPr>
    </w:p>
    <w:p w14:paraId="4871A8CC">
      <w:pPr>
        <w:autoSpaceDE w:val="0"/>
        <w:autoSpaceDN w:val="0"/>
        <w:spacing w:before="100" w:beforeAutospacing="1" w:after="100" w:afterAutospacing="1" w:line="560" w:lineRule="exact"/>
        <w:jc w:val="center"/>
        <w:rPr>
          <w:rFonts w:eastAsia="仿宋_GB2312"/>
          <w:b/>
          <w:bCs/>
          <w:sz w:val="28"/>
          <w:szCs w:val="28"/>
        </w:rPr>
      </w:pPr>
    </w:p>
    <w:p w14:paraId="1CCF023E">
      <w:pPr>
        <w:autoSpaceDE w:val="0"/>
        <w:autoSpaceDN w:val="0"/>
        <w:spacing w:before="100" w:beforeAutospacing="1" w:after="100" w:afterAutospacing="1" w:line="560" w:lineRule="exact"/>
        <w:jc w:val="center"/>
        <w:rPr>
          <w:rFonts w:hint="eastAsia" w:ascii="黑体" w:hAnsi="黑体"/>
          <w:b/>
          <w:bCs/>
          <w:sz w:val="44"/>
          <w:szCs w:val="28"/>
        </w:rPr>
      </w:pPr>
      <w:r>
        <w:rPr>
          <w:rFonts w:hint="eastAsia" w:ascii="黑体" w:hAnsi="黑体"/>
          <w:b/>
          <w:bCs/>
          <w:sz w:val="44"/>
          <w:szCs w:val="28"/>
        </w:rPr>
        <w:t>编制说明</w:t>
      </w:r>
    </w:p>
    <w:p w14:paraId="0E395A5D">
      <w:pPr>
        <w:autoSpaceDE w:val="0"/>
        <w:autoSpaceDN w:val="0"/>
        <w:spacing w:before="100" w:beforeAutospacing="1" w:after="100" w:afterAutospacing="1" w:line="560" w:lineRule="exact"/>
        <w:jc w:val="center"/>
        <w:rPr>
          <w:rFonts w:hint="eastAsia" w:ascii="黑体" w:hAnsi="黑体" w:eastAsia="黑体"/>
          <w:b/>
          <w:bCs/>
          <w:color w:val="000000"/>
          <w:sz w:val="28"/>
          <w:szCs w:val="28"/>
        </w:rPr>
      </w:pPr>
    </w:p>
    <w:p w14:paraId="75B6512C">
      <w:pPr>
        <w:autoSpaceDE w:val="0"/>
        <w:autoSpaceDN w:val="0"/>
        <w:spacing w:before="100" w:beforeAutospacing="1" w:after="100" w:afterAutospacing="1" w:line="560" w:lineRule="exact"/>
        <w:jc w:val="center"/>
        <w:rPr>
          <w:rFonts w:hint="eastAsia" w:ascii="黑体" w:hAnsi="黑体" w:eastAsia="黑体"/>
          <w:b/>
          <w:bCs/>
          <w:color w:val="000000"/>
          <w:sz w:val="28"/>
          <w:szCs w:val="28"/>
        </w:rPr>
      </w:pPr>
    </w:p>
    <w:p w14:paraId="016EA470">
      <w:pPr>
        <w:autoSpaceDE w:val="0"/>
        <w:autoSpaceDN w:val="0"/>
        <w:spacing w:before="100" w:beforeAutospacing="1" w:after="100" w:afterAutospacing="1" w:line="560" w:lineRule="exact"/>
        <w:jc w:val="center"/>
        <w:rPr>
          <w:rFonts w:hint="eastAsia" w:ascii="黑体" w:hAnsi="黑体" w:eastAsia="黑体"/>
          <w:b/>
          <w:bCs/>
          <w:color w:val="000000"/>
          <w:sz w:val="28"/>
          <w:szCs w:val="28"/>
        </w:rPr>
      </w:pPr>
    </w:p>
    <w:p w14:paraId="5F26B68B">
      <w:pPr>
        <w:autoSpaceDE w:val="0"/>
        <w:autoSpaceDN w:val="0"/>
        <w:spacing w:before="100" w:beforeAutospacing="1" w:after="100" w:afterAutospacing="1" w:line="560" w:lineRule="exact"/>
        <w:jc w:val="center"/>
        <w:rPr>
          <w:rFonts w:hint="eastAsia" w:ascii="黑体" w:hAnsi="黑体" w:eastAsia="黑体"/>
          <w:b/>
          <w:bCs/>
          <w:color w:val="000000"/>
          <w:sz w:val="28"/>
          <w:szCs w:val="28"/>
        </w:rPr>
      </w:pPr>
    </w:p>
    <w:p w14:paraId="57AA26BF">
      <w:pPr>
        <w:autoSpaceDE w:val="0"/>
        <w:autoSpaceDN w:val="0"/>
        <w:spacing w:before="100" w:beforeAutospacing="1" w:after="100" w:afterAutospacing="1" w:line="560" w:lineRule="exact"/>
        <w:jc w:val="center"/>
        <w:rPr>
          <w:rFonts w:hint="eastAsia" w:ascii="黑体" w:hAnsi="黑体"/>
          <w:b/>
          <w:bCs/>
          <w:color w:val="000000"/>
          <w:sz w:val="32"/>
          <w:szCs w:val="28"/>
        </w:rPr>
      </w:pPr>
      <w:r>
        <w:rPr>
          <w:rFonts w:hint="eastAsia" w:ascii="黑体" w:hAnsi="黑体"/>
          <w:b/>
          <w:bCs/>
          <w:color w:val="000000"/>
          <w:sz w:val="32"/>
          <w:szCs w:val="28"/>
        </w:rPr>
        <w:t>标准编制工作组</w:t>
      </w:r>
    </w:p>
    <w:p w14:paraId="6EEF7677">
      <w:pPr>
        <w:autoSpaceDE w:val="0"/>
        <w:autoSpaceDN w:val="0"/>
        <w:spacing w:before="100" w:beforeAutospacing="1" w:after="100" w:afterAutospacing="1" w:line="560" w:lineRule="exact"/>
        <w:jc w:val="center"/>
        <w:rPr>
          <w:b/>
          <w:sz w:val="32"/>
        </w:rPr>
      </w:pPr>
      <w:r>
        <w:rPr>
          <w:rFonts w:hint="eastAsia"/>
          <w:b/>
          <w:sz w:val="32"/>
        </w:rPr>
        <w:t>二〇二六年四月</w:t>
      </w:r>
    </w:p>
    <w:p w14:paraId="670500A5">
      <w:pPr>
        <w:jc w:val="left"/>
        <w:rPr>
          <w:sz w:val="24"/>
        </w:rPr>
      </w:pPr>
      <w:r>
        <w:rPr>
          <w:rFonts w:hint="eastAsia"/>
          <w:b/>
          <w:sz w:val="32"/>
        </w:rPr>
        <w:br w:type="page"/>
      </w:r>
    </w:p>
    <w:p w14:paraId="08FA4AC7">
      <w:pPr>
        <w:pStyle w:val="32"/>
        <w:rPr>
          <w:rFonts w:hint="eastAsia" w:hAnsi="宋体"/>
          <w:b/>
          <w:sz w:val="30"/>
          <w:szCs w:val="30"/>
        </w:rPr>
        <w:sectPr>
          <w:headerReference r:id="rId5" w:type="first"/>
          <w:footerReference r:id="rId8" w:type="first"/>
          <w:headerReference r:id="rId3" w:type="default"/>
          <w:footerReference r:id="rId6" w:type="default"/>
          <w:headerReference r:id="rId4" w:type="even"/>
          <w:footerReference r:id="rId7" w:type="even"/>
          <w:pgSz w:w="11906" w:h="16838"/>
          <w:pgMar w:top="1134" w:right="1287" w:bottom="1134" w:left="1797" w:header="851" w:footer="992" w:gutter="0"/>
          <w:pgNumType w:fmt="upperRoman" w:start="1"/>
          <w:cols w:space="720" w:num="1"/>
          <w:titlePg/>
          <w:docGrid w:type="lines" w:linePitch="312" w:charSpace="0"/>
        </w:sectPr>
      </w:pPr>
    </w:p>
    <w:p w14:paraId="45AD7359">
      <w:pPr>
        <w:jc w:val="center"/>
        <w:rPr>
          <w:rFonts w:hint="eastAsia" w:ascii="黑体" w:hAnsi="黑体" w:eastAsia="黑体" w:cs="黑体"/>
          <w:sz w:val="44"/>
          <w:szCs w:val="44"/>
        </w:rPr>
      </w:pPr>
    </w:p>
    <w:p w14:paraId="507C063C">
      <w:pPr>
        <w:jc w:val="center"/>
        <w:rPr>
          <w:rFonts w:hint="eastAsia" w:ascii="黑体" w:hAnsi="黑体" w:eastAsia="黑体" w:cs="黑体"/>
          <w:sz w:val="44"/>
          <w:szCs w:val="44"/>
        </w:rPr>
      </w:pPr>
      <w:r>
        <w:rPr>
          <w:rFonts w:hint="eastAsia" w:ascii="黑体" w:hAnsi="黑体" w:eastAsia="黑体" w:cs="黑体"/>
          <w:sz w:val="44"/>
          <w:szCs w:val="44"/>
        </w:rPr>
        <w:t>目录</w:t>
      </w:r>
    </w:p>
    <w:p w14:paraId="5FA49729">
      <w:pPr>
        <w:pStyle w:val="11"/>
        <w:tabs>
          <w:tab w:val="right" w:leader="dot" w:pos="8822"/>
        </w:tabs>
      </w:pPr>
      <w:r>
        <w:rPr>
          <w:sz w:val="28"/>
          <w:szCs w:val="28"/>
        </w:rPr>
        <w:fldChar w:fldCharType="begin"/>
      </w:r>
      <w:r>
        <w:rPr>
          <w:sz w:val="28"/>
          <w:szCs w:val="28"/>
        </w:rPr>
        <w:instrText xml:space="preserve"> TOC \o "1-1" \h \z \u </w:instrText>
      </w:r>
      <w:r>
        <w:rPr>
          <w:sz w:val="28"/>
          <w:szCs w:val="28"/>
        </w:rPr>
        <w:fldChar w:fldCharType="separate"/>
      </w:r>
    </w:p>
    <w:p w14:paraId="31DD05FA">
      <w:pPr>
        <w:pStyle w:val="11"/>
        <w:tabs>
          <w:tab w:val="right" w:leader="dot" w:pos="8822"/>
        </w:tabs>
      </w:pPr>
      <w:r>
        <w:fldChar w:fldCharType="begin"/>
      </w:r>
      <w:r>
        <w:instrText xml:space="preserve"> HYPERLINK \l "_Toc30808" </w:instrText>
      </w:r>
      <w:r>
        <w:fldChar w:fldCharType="separate"/>
      </w:r>
      <w:r>
        <w:rPr>
          <w:bCs/>
          <w:szCs w:val="28"/>
        </w:rPr>
        <w:t>一、工作简况</w:t>
      </w:r>
      <w:r>
        <w:tab/>
      </w:r>
      <w:r>
        <w:fldChar w:fldCharType="begin"/>
      </w:r>
      <w:r>
        <w:instrText xml:space="preserve"> PAGEREF _Toc30808 \h </w:instrText>
      </w:r>
      <w:r>
        <w:fldChar w:fldCharType="separate"/>
      </w:r>
      <w:r>
        <w:t>1</w:t>
      </w:r>
      <w:r>
        <w:fldChar w:fldCharType="end"/>
      </w:r>
      <w:r>
        <w:fldChar w:fldCharType="end"/>
      </w:r>
    </w:p>
    <w:p w14:paraId="258D7B75">
      <w:pPr>
        <w:pStyle w:val="11"/>
        <w:tabs>
          <w:tab w:val="right" w:leader="dot" w:pos="8822"/>
        </w:tabs>
      </w:pPr>
      <w:r>
        <w:fldChar w:fldCharType="begin"/>
      </w:r>
      <w:r>
        <w:instrText xml:space="preserve"> HYPERLINK \l "_Toc10286" </w:instrText>
      </w:r>
      <w:r>
        <w:fldChar w:fldCharType="separate"/>
      </w:r>
      <w:r>
        <w:rPr>
          <w:bCs/>
          <w:szCs w:val="28"/>
        </w:rPr>
        <w:t>二、</w:t>
      </w:r>
      <w:r>
        <w:rPr>
          <w:rFonts w:hint="eastAsia"/>
          <w:bCs/>
          <w:szCs w:val="28"/>
        </w:rPr>
        <w:t>行业</w:t>
      </w:r>
      <w:r>
        <w:rPr>
          <w:bCs/>
          <w:szCs w:val="28"/>
        </w:rPr>
        <w:t>标准编制原则、主要内容及其确定依据</w:t>
      </w:r>
      <w:r>
        <w:tab/>
      </w:r>
      <w:r>
        <w:fldChar w:fldCharType="begin"/>
      </w:r>
      <w:r>
        <w:instrText xml:space="preserve"> PAGEREF _Toc10286 \h </w:instrText>
      </w:r>
      <w:r>
        <w:fldChar w:fldCharType="separate"/>
      </w:r>
      <w:r>
        <w:t>3</w:t>
      </w:r>
      <w:r>
        <w:fldChar w:fldCharType="end"/>
      </w:r>
      <w:r>
        <w:fldChar w:fldCharType="end"/>
      </w:r>
    </w:p>
    <w:p w14:paraId="08FDAA4A">
      <w:pPr>
        <w:pStyle w:val="11"/>
        <w:tabs>
          <w:tab w:val="right" w:leader="dot" w:pos="8822"/>
        </w:tabs>
      </w:pPr>
      <w:r>
        <w:fldChar w:fldCharType="begin"/>
      </w:r>
      <w:r>
        <w:instrText xml:space="preserve"> HYPERLINK \l "_Toc7724" </w:instrText>
      </w:r>
      <w:r>
        <w:fldChar w:fldCharType="separate"/>
      </w:r>
      <w:r>
        <w:rPr>
          <w:rFonts w:hint="eastAsia"/>
          <w:bCs/>
          <w:szCs w:val="28"/>
        </w:rPr>
        <w:t>三、</w:t>
      </w:r>
      <w:r>
        <w:rPr>
          <w:bCs/>
          <w:szCs w:val="28"/>
        </w:rPr>
        <w:t>试验验证的分析、综述报告，技术经济论证，预期的经济效益、社会效益和生态效益</w:t>
      </w:r>
      <w:r>
        <w:tab/>
      </w:r>
      <w:r>
        <w:fldChar w:fldCharType="begin"/>
      </w:r>
      <w:r>
        <w:instrText xml:space="preserve"> PAGEREF _Toc7724 \h </w:instrText>
      </w:r>
      <w:r>
        <w:fldChar w:fldCharType="separate"/>
      </w:r>
      <w:r>
        <w:t>6</w:t>
      </w:r>
      <w:r>
        <w:fldChar w:fldCharType="end"/>
      </w:r>
      <w:r>
        <w:fldChar w:fldCharType="end"/>
      </w:r>
    </w:p>
    <w:p w14:paraId="285A58E2">
      <w:pPr>
        <w:pStyle w:val="11"/>
        <w:tabs>
          <w:tab w:val="right" w:leader="dot" w:pos="8822"/>
        </w:tabs>
      </w:pPr>
      <w:r>
        <w:fldChar w:fldCharType="begin"/>
      </w:r>
      <w:r>
        <w:instrText xml:space="preserve"> HYPERLINK \l "_Toc11722" </w:instrText>
      </w:r>
      <w:r>
        <w:fldChar w:fldCharType="separate"/>
      </w:r>
      <w:r>
        <w:rPr>
          <w:rFonts w:hint="eastAsia"/>
          <w:bCs/>
          <w:szCs w:val="28"/>
        </w:rPr>
        <w:t>四、与国际、国外同类标准技术内容的对比情况</w:t>
      </w:r>
      <w:r>
        <w:tab/>
      </w:r>
      <w:r>
        <w:fldChar w:fldCharType="begin"/>
      </w:r>
      <w:r>
        <w:instrText xml:space="preserve"> PAGEREF _Toc11722 \h </w:instrText>
      </w:r>
      <w:r>
        <w:fldChar w:fldCharType="separate"/>
      </w:r>
      <w:r>
        <w:t>6</w:t>
      </w:r>
      <w:r>
        <w:fldChar w:fldCharType="end"/>
      </w:r>
      <w:r>
        <w:fldChar w:fldCharType="end"/>
      </w:r>
    </w:p>
    <w:p w14:paraId="3C573E4C">
      <w:pPr>
        <w:pStyle w:val="11"/>
        <w:tabs>
          <w:tab w:val="right" w:leader="dot" w:pos="8822"/>
        </w:tabs>
      </w:pPr>
      <w:r>
        <w:fldChar w:fldCharType="begin"/>
      </w:r>
      <w:r>
        <w:instrText xml:space="preserve"> HYPERLINK \l "_Toc652" </w:instrText>
      </w:r>
      <w:r>
        <w:fldChar w:fldCharType="separate"/>
      </w:r>
      <w:r>
        <w:rPr>
          <w:rFonts w:hint="eastAsia"/>
          <w:bCs/>
          <w:szCs w:val="28"/>
        </w:rPr>
        <w:t>五、以国际标准为基础的起草情况，以及是否合规引用或者采用国际国外标准，并说明未采用国际标准的原因</w:t>
      </w:r>
      <w:r>
        <w:tab/>
      </w:r>
      <w:r>
        <w:fldChar w:fldCharType="begin"/>
      </w:r>
      <w:r>
        <w:instrText xml:space="preserve"> PAGEREF _Toc652 \h </w:instrText>
      </w:r>
      <w:r>
        <w:fldChar w:fldCharType="separate"/>
      </w:r>
      <w:r>
        <w:t>7</w:t>
      </w:r>
      <w:r>
        <w:fldChar w:fldCharType="end"/>
      </w:r>
      <w:r>
        <w:fldChar w:fldCharType="end"/>
      </w:r>
    </w:p>
    <w:p w14:paraId="0D3ED743">
      <w:pPr>
        <w:pStyle w:val="11"/>
        <w:tabs>
          <w:tab w:val="right" w:leader="dot" w:pos="8822"/>
        </w:tabs>
      </w:pPr>
      <w:r>
        <w:fldChar w:fldCharType="begin"/>
      </w:r>
      <w:r>
        <w:instrText xml:space="preserve"> HYPERLINK \l "_Toc32375" </w:instrText>
      </w:r>
      <w:r>
        <w:fldChar w:fldCharType="separate"/>
      </w:r>
      <w:r>
        <w:rPr>
          <w:rFonts w:hint="eastAsia"/>
          <w:bCs/>
          <w:szCs w:val="28"/>
        </w:rPr>
        <w:t>六、与有关法律、行政法规及相关标准的关系</w:t>
      </w:r>
      <w:r>
        <w:tab/>
      </w:r>
      <w:r>
        <w:fldChar w:fldCharType="begin"/>
      </w:r>
      <w:r>
        <w:instrText xml:space="preserve"> PAGEREF _Toc32375 \h </w:instrText>
      </w:r>
      <w:r>
        <w:fldChar w:fldCharType="separate"/>
      </w:r>
      <w:r>
        <w:t>7</w:t>
      </w:r>
      <w:r>
        <w:fldChar w:fldCharType="end"/>
      </w:r>
      <w:r>
        <w:fldChar w:fldCharType="end"/>
      </w:r>
    </w:p>
    <w:p w14:paraId="74E82304">
      <w:pPr>
        <w:pStyle w:val="11"/>
        <w:tabs>
          <w:tab w:val="right" w:leader="dot" w:pos="8822"/>
        </w:tabs>
      </w:pPr>
      <w:r>
        <w:fldChar w:fldCharType="begin"/>
      </w:r>
      <w:r>
        <w:instrText xml:space="preserve"> HYPERLINK \l "_Toc6925" </w:instrText>
      </w:r>
      <w:r>
        <w:fldChar w:fldCharType="separate"/>
      </w:r>
      <w:r>
        <w:rPr>
          <w:rFonts w:hint="eastAsia"/>
          <w:bCs/>
          <w:szCs w:val="28"/>
        </w:rPr>
        <w:t>七、重大分歧意见的处理经过和依据</w:t>
      </w:r>
      <w:r>
        <w:tab/>
      </w:r>
      <w:r>
        <w:fldChar w:fldCharType="begin"/>
      </w:r>
      <w:r>
        <w:instrText xml:space="preserve"> PAGEREF _Toc6925 \h </w:instrText>
      </w:r>
      <w:r>
        <w:fldChar w:fldCharType="separate"/>
      </w:r>
      <w:r>
        <w:t>7</w:t>
      </w:r>
      <w:r>
        <w:fldChar w:fldCharType="end"/>
      </w:r>
      <w:r>
        <w:fldChar w:fldCharType="end"/>
      </w:r>
    </w:p>
    <w:p w14:paraId="23FA9E93">
      <w:pPr>
        <w:pStyle w:val="11"/>
        <w:tabs>
          <w:tab w:val="right" w:leader="dot" w:pos="8822"/>
        </w:tabs>
      </w:pPr>
      <w:r>
        <w:fldChar w:fldCharType="begin"/>
      </w:r>
      <w:r>
        <w:instrText xml:space="preserve"> HYPERLINK \l "_Toc22391" </w:instrText>
      </w:r>
      <w:r>
        <w:fldChar w:fldCharType="separate"/>
      </w:r>
      <w:r>
        <w:rPr>
          <w:rFonts w:hint="eastAsia"/>
          <w:bCs/>
          <w:szCs w:val="28"/>
        </w:rPr>
        <w:t>八、涉及专利的有关说明</w:t>
      </w:r>
      <w:r>
        <w:tab/>
      </w:r>
      <w:r>
        <w:fldChar w:fldCharType="begin"/>
      </w:r>
      <w:r>
        <w:instrText xml:space="preserve"> PAGEREF _Toc22391 \h </w:instrText>
      </w:r>
      <w:r>
        <w:fldChar w:fldCharType="separate"/>
      </w:r>
      <w:r>
        <w:t>7</w:t>
      </w:r>
      <w:r>
        <w:fldChar w:fldCharType="end"/>
      </w:r>
      <w:r>
        <w:fldChar w:fldCharType="end"/>
      </w:r>
    </w:p>
    <w:p w14:paraId="6668AA23">
      <w:pPr>
        <w:pStyle w:val="11"/>
        <w:tabs>
          <w:tab w:val="right" w:leader="dot" w:pos="8822"/>
        </w:tabs>
      </w:pPr>
      <w:r>
        <w:fldChar w:fldCharType="begin"/>
      </w:r>
      <w:r>
        <w:instrText xml:space="preserve"> HYPERLINK \l "_Toc24313" </w:instrText>
      </w:r>
      <w:r>
        <w:fldChar w:fldCharType="separate"/>
      </w:r>
      <w:r>
        <w:rPr>
          <w:rFonts w:hint="eastAsia"/>
          <w:bCs/>
          <w:szCs w:val="28"/>
        </w:rPr>
        <w:t>九、实施国家标准的要求，以及组织措施、技术措施、过渡期和实施日期的建议等措施建议</w:t>
      </w:r>
      <w:r>
        <w:tab/>
      </w:r>
      <w:r>
        <w:fldChar w:fldCharType="begin"/>
      </w:r>
      <w:r>
        <w:instrText xml:space="preserve"> PAGEREF _Toc24313 \h </w:instrText>
      </w:r>
      <w:r>
        <w:fldChar w:fldCharType="separate"/>
      </w:r>
      <w:r>
        <w:t>7</w:t>
      </w:r>
      <w:r>
        <w:fldChar w:fldCharType="end"/>
      </w:r>
      <w:r>
        <w:fldChar w:fldCharType="end"/>
      </w:r>
    </w:p>
    <w:p w14:paraId="78F0AF72">
      <w:pPr>
        <w:pStyle w:val="11"/>
        <w:tabs>
          <w:tab w:val="right" w:leader="dot" w:pos="8822"/>
        </w:tabs>
      </w:pPr>
      <w:r>
        <w:fldChar w:fldCharType="begin"/>
      </w:r>
      <w:r>
        <w:instrText xml:space="preserve"> HYPERLINK \l "_Toc15310" </w:instrText>
      </w:r>
      <w:r>
        <w:fldChar w:fldCharType="separate"/>
      </w:r>
      <w:r>
        <w:rPr>
          <w:rFonts w:hint="eastAsia"/>
          <w:bCs/>
          <w:szCs w:val="28"/>
        </w:rPr>
        <w:t>十、其他应当说明的事项</w:t>
      </w:r>
      <w:r>
        <w:tab/>
      </w:r>
      <w:r>
        <w:fldChar w:fldCharType="begin"/>
      </w:r>
      <w:r>
        <w:instrText xml:space="preserve"> PAGEREF _Toc15310 \h </w:instrText>
      </w:r>
      <w:r>
        <w:fldChar w:fldCharType="separate"/>
      </w:r>
      <w:r>
        <w:t>7</w:t>
      </w:r>
      <w:r>
        <w:fldChar w:fldCharType="end"/>
      </w:r>
      <w:r>
        <w:fldChar w:fldCharType="end"/>
      </w:r>
    </w:p>
    <w:p w14:paraId="460F5369">
      <w:pPr>
        <w:pStyle w:val="11"/>
        <w:widowControl/>
        <w:tabs>
          <w:tab w:val="right" w:leader="dot" w:pos="8306"/>
        </w:tabs>
        <w:rPr>
          <w:rFonts w:hint="eastAsia" w:ascii="宋体" w:hAnsi="宋体"/>
          <w:b/>
          <w:sz w:val="30"/>
          <w:szCs w:val="30"/>
        </w:rPr>
      </w:pPr>
      <w:r>
        <w:rPr>
          <w:szCs w:val="28"/>
        </w:rPr>
        <w:fldChar w:fldCharType="end"/>
      </w:r>
    </w:p>
    <w:p w14:paraId="271FE242">
      <w:pPr>
        <w:jc w:val="center"/>
        <w:rPr>
          <w:rFonts w:hint="eastAsia" w:ascii="宋体" w:hAnsi="宋体"/>
          <w:b/>
          <w:sz w:val="30"/>
          <w:szCs w:val="30"/>
        </w:rPr>
      </w:pPr>
    </w:p>
    <w:p w14:paraId="78AD81EF">
      <w:pPr>
        <w:jc w:val="center"/>
        <w:rPr>
          <w:rFonts w:hint="eastAsia" w:ascii="宋体" w:hAnsi="宋体"/>
          <w:b/>
          <w:sz w:val="30"/>
          <w:szCs w:val="30"/>
        </w:rPr>
      </w:pPr>
    </w:p>
    <w:p w14:paraId="3BF8708E">
      <w:pPr>
        <w:jc w:val="center"/>
        <w:rPr>
          <w:rFonts w:hint="eastAsia" w:ascii="宋体" w:hAnsi="宋体"/>
          <w:b/>
          <w:sz w:val="30"/>
          <w:szCs w:val="30"/>
        </w:rPr>
      </w:pPr>
    </w:p>
    <w:p w14:paraId="2E16AC6E">
      <w:pPr>
        <w:jc w:val="center"/>
        <w:rPr>
          <w:rFonts w:hint="eastAsia" w:ascii="宋体" w:hAnsi="宋体"/>
          <w:b/>
          <w:sz w:val="30"/>
          <w:szCs w:val="30"/>
        </w:rPr>
      </w:pPr>
    </w:p>
    <w:p w14:paraId="296F0AD5">
      <w:pPr>
        <w:jc w:val="center"/>
        <w:rPr>
          <w:rFonts w:hint="eastAsia" w:ascii="宋体" w:hAnsi="宋体"/>
          <w:b/>
          <w:sz w:val="30"/>
          <w:szCs w:val="30"/>
        </w:rPr>
      </w:pPr>
    </w:p>
    <w:p w14:paraId="2BD334CF">
      <w:pPr>
        <w:jc w:val="center"/>
        <w:rPr>
          <w:rFonts w:hint="eastAsia" w:ascii="宋体" w:hAnsi="宋体"/>
          <w:b/>
          <w:sz w:val="30"/>
          <w:szCs w:val="30"/>
        </w:rPr>
      </w:pPr>
    </w:p>
    <w:p w14:paraId="66DA09C3">
      <w:pPr>
        <w:jc w:val="center"/>
        <w:rPr>
          <w:rFonts w:hint="eastAsia" w:ascii="宋体" w:hAnsi="宋体"/>
          <w:b/>
          <w:sz w:val="32"/>
          <w:szCs w:val="32"/>
        </w:rPr>
        <w:sectPr>
          <w:pgSz w:w="11906" w:h="16838"/>
          <w:pgMar w:top="1134" w:right="1287" w:bottom="1134" w:left="1797" w:header="851" w:footer="992" w:gutter="0"/>
          <w:pgNumType w:fmt="upperRoman" w:start="1"/>
          <w:cols w:space="720" w:num="1"/>
          <w:docGrid w:type="lines" w:linePitch="312" w:charSpace="0"/>
        </w:sectPr>
      </w:pPr>
    </w:p>
    <w:p w14:paraId="22D41CCD">
      <w:pPr>
        <w:pStyle w:val="37"/>
        <w:framePr w:w="0" w:h="1367" w:hRule="exact" w:wrap="auto" w:hAnchor="text" w:xAlign="left" w:yAlign="inline"/>
        <w:spacing w:line="480" w:lineRule="auto"/>
        <w:rPr>
          <w:rFonts w:hint="eastAsia" w:ascii="方正小标宋简体" w:hAnsi="方正小标宋简体" w:eastAsia="方正小标宋简体" w:cs="方正小标宋简体"/>
          <w:sz w:val="36"/>
          <w:szCs w:val="36"/>
        </w:rPr>
      </w:pPr>
      <w:bookmarkStart w:id="10" w:name="_Toc320021798"/>
      <w:r>
        <w:rPr>
          <w:rFonts w:hint="eastAsia" w:ascii="方正小标宋简体" w:hAnsi="方正小标宋简体" w:eastAsia="方正小标宋简体" w:cs="方正小标宋简体"/>
          <w:sz w:val="36"/>
          <w:szCs w:val="36"/>
        </w:rPr>
        <w:t>《农资仓储信息化建设规范》</w:t>
      </w:r>
    </w:p>
    <w:p w14:paraId="29AD1BE3">
      <w:pPr>
        <w:pStyle w:val="37"/>
        <w:framePr w:w="0" w:h="1367" w:hRule="exact" w:wrap="auto" w:hAnchor="text" w:xAlign="left" w:yAlign="inline"/>
        <w:spacing w:line="480" w:lineRule="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供销合作行业标准编制说明</w:t>
      </w:r>
    </w:p>
    <w:p w14:paraId="28460409">
      <w:pPr>
        <w:spacing w:line="480" w:lineRule="exact"/>
        <w:ind w:firstLine="422" w:firstLineChars="200"/>
        <w:rPr>
          <w:b/>
          <w:bCs/>
          <w:szCs w:val="28"/>
        </w:rPr>
      </w:pPr>
    </w:p>
    <w:p w14:paraId="4FAE5FCF">
      <w:pPr>
        <w:widowControl/>
        <w:spacing w:line="480" w:lineRule="exact"/>
        <w:ind w:firstLine="422" w:firstLineChars="200"/>
        <w:outlineLvl w:val="0"/>
        <w:rPr>
          <w:b/>
          <w:bCs/>
          <w:szCs w:val="28"/>
        </w:rPr>
      </w:pPr>
      <w:bookmarkStart w:id="11" w:name="_Toc30808"/>
      <w:bookmarkStart w:id="12" w:name="_Toc21608"/>
      <w:bookmarkStart w:id="13" w:name="_Toc17929"/>
      <w:bookmarkStart w:id="14" w:name="_Toc32744"/>
      <w:bookmarkStart w:id="15" w:name="_Toc12901"/>
      <w:bookmarkStart w:id="16" w:name="_Toc13191"/>
      <w:r>
        <w:rPr>
          <w:b/>
          <w:bCs/>
          <w:szCs w:val="28"/>
        </w:rPr>
        <w:t>一、工作简况</w:t>
      </w:r>
      <w:bookmarkEnd w:id="11"/>
      <w:bookmarkEnd w:id="12"/>
      <w:bookmarkEnd w:id="13"/>
    </w:p>
    <w:p w14:paraId="10274A70">
      <w:pPr>
        <w:widowControl/>
        <w:spacing w:line="480" w:lineRule="exact"/>
        <w:ind w:firstLine="422" w:firstLineChars="200"/>
        <w:outlineLvl w:val="0"/>
        <w:rPr>
          <w:b/>
          <w:bCs/>
          <w:szCs w:val="28"/>
        </w:rPr>
      </w:pPr>
      <w:bookmarkStart w:id="17" w:name="_Toc16837"/>
      <w:bookmarkStart w:id="18" w:name="_Toc27913"/>
      <w:bookmarkStart w:id="19" w:name="_Toc28217"/>
      <w:r>
        <w:rPr>
          <w:rFonts w:hint="eastAsia"/>
          <w:b/>
          <w:bCs/>
          <w:szCs w:val="28"/>
        </w:rPr>
        <w:t>（一）任务来源</w:t>
      </w:r>
      <w:bookmarkEnd w:id="10"/>
      <w:bookmarkEnd w:id="14"/>
      <w:bookmarkEnd w:id="15"/>
      <w:bookmarkEnd w:id="16"/>
      <w:bookmarkEnd w:id="17"/>
      <w:bookmarkEnd w:id="18"/>
      <w:bookmarkEnd w:id="19"/>
    </w:p>
    <w:p w14:paraId="3F0661BB">
      <w:pPr>
        <w:widowControl/>
        <w:spacing w:line="480" w:lineRule="exact"/>
        <w:ind w:firstLine="420" w:firstLineChars="200"/>
        <w:rPr>
          <w:rFonts w:cs="仿宋"/>
          <w:szCs w:val="28"/>
        </w:rPr>
      </w:pPr>
      <w:r>
        <w:rPr>
          <w:rFonts w:hint="eastAsia" w:cs="仿宋"/>
          <w:szCs w:val="28"/>
        </w:rPr>
        <w:t>《农资仓储信息化建设规范》供销合作行业标准依据中华全国供销合作总社（以下简称总社）《关于下达2025年供销合作社归口标准体系与行业品牌建设项目计划的通知》（供销厅科社〔2025〕43号）编制，项目计划编号为2025GH-ZD-01。本标准项目是由中国农业生产资料流通协会提出并归口，由中国农业生产资料流通协会、国家粮食和物资储备局科学研究院、中国农业生产资料集团有限公司、中农聚田（北京）农业科技有限公司、安徽辉隆农资集团股份有限公司、浙农集团股份有限公司、黑龙江倍丰农业生产资料集团有限公司、广东天禾农资股份有限公司、太极计算机股份有限公司共同组织起草编制。本标准是新制定的推荐性供销合作行业标准。</w:t>
      </w:r>
    </w:p>
    <w:p w14:paraId="1C5EDE88">
      <w:pPr>
        <w:widowControl/>
        <w:spacing w:line="480" w:lineRule="exact"/>
        <w:ind w:firstLine="422" w:firstLineChars="200"/>
        <w:outlineLvl w:val="0"/>
        <w:rPr>
          <w:b/>
          <w:bCs/>
          <w:szCs w:val="28"/>
        </w:rPr>
      </w:pPr>
      <w:bookmarkStart w:id="20" w:name="_Toc320021799"/>
      <w:bookmarkStart w:id="21" w:name="_Toc21773"/>
      <w:bookmarkStart w:id="22" w:name="_Toc1676"/>
      <w:bookmarkStart w:id="23" w:name="_Toc16956"/>
      <w:bookmarkStart w:id="24" w:name="_Toc16107"/>
      <w:bookmarkStart w:id="25" w:name="_Toc2956"/>
      <w:bookmarkStart w:id="26" w:name="_Toc3995"/>
      <w:r>
        <w:rPr>
          <w:rFonts w:hint="eastAsia"/>
          <w:b/>
          <w:bCs/>
          <w:szCs w:val="28"/>
        </w:rPr>
        <w:t>（二）制定</w:t>
      </w:r>
      <w:bookmarkEnd w:id="20"/>
      <w:bookmarkEnd w:id="21"/>
      <w:r>
        <w:rPr>
          <w:rFonts w:hint="eastAsia"/>
          <w:b/>
          <w:bCs/>
          <w:szCs w:val="28"/>
        </w:rPr>
        <w:t>背景</w:t>
      </w:r>
      <w:bookmarkEnd w:id="22"/>
      <w:bookmarkEnd w:id="23"/>
      <w:bookmarkEnd w:id="24"/>
      <w:bookmarkEnd w:id="25"/>
      <w:bookmarkEnd w:id="26"/>
    </w:p>
    <w:p w14:paraId="39BA93CB">
      <w:pPr>
        <w:widowControl/>
        <w:spacing w:line="480" w:lineRule="exact"/>
        <w:ind w:firstLine="420" w:firstLineChars="200"/>
        <w:rPr>
          <w:rFonts w:cs="仿宋"/>
          <w:szCs w:val="28"/>
        </w:rPr>
      </w:pPr>
      <w:r>
        <w:rPr>
          <w:rFonts w:hint="eastAsia" w:cs="仿宋"/>
          <w:szCs w:val="28"/>
        </w:rPr>
        <w:t>随着我国农业现代化进程的加快，农资（肥料、农药、农膜、种子、饲料、兽药、农机具等）在生产、流通、仓储等环节的管理要求日益提高。农资仓储作为连接生产与消费的重要节点，其信息化水平直接影响到农资供应的效率、安全性和应急调度能力。</w:t>
      </w:r>
    </w:p>
    <w:p w14:paraId="27AAE7D9">
      <w:pPr>
        <w:widowControl/>
        <w:spacing w:line="480" w:lineRule="exact"/>
        <w:ind w:firstLine="420" w:firstLineChars="200"/>
        <w:rPr>
          <w:rFonts w:cs="仿宋"/>
          <w:szCs w:val="28"/>
        </w:rPr>
      </w:pPr>
      <w:r>
        <w:rPr>
          <w:rFonts w:hint="eastAsia" w:cs="仿宋"/>
          <w:szCs w:val="28"/>
        </w:rPr>
        <w:t>但我国农资仓储信息化建设仍存在以下问题：一是信息孤岛现象严重：各级农资仓库、省级管理部门和全国平台之间缺乏统一的数据标准和接口规范，信息难以互通。二是技术架构不统一：各地农资仓库信息系统建设标准不一，技术架构、功能模块、数据格式差异大，制约了系统的集成和扩展；三是监管手段滞后：传统的农资仓储管理依赖人工记录和报表，数据更新滞后，难以满足实时监管和应急调度的需求；四是安全保障不足：信息系统的安全防护、数据备份、运维管理等方面缺乏统一规范，存在数据泄露和系统瘫痪风险。</w:t>
      </w:r>
    </w:p>
    <w:p w14:paraId="47F314BD">
      <w:pPr>
        <w:widowControl/>
        <w:spacing w:line="480" w:lineRule="exact"/>
        <w:ind w:firstLine="420" w:firstLineChars="200"/>
        <w:rPr>
          <w:rFonts w:cs="仿宋"/>
          <w:szCs w:val="28"/>
        </w:rPr>
      </w:pPr>
      <w:r>
        <w:rPr>
          <w:rFonts w:hint="eastAsia" w:cs="仿宋"/>
          <w:szCs w:val="28"/>
        </w:rPr>
        <w:t>目前，国内外尚未形成农资仓储信息化建设方面的标准。因此，亟须制定一套适用于农资仓储信息化建设的行业标准，推动形成“仓库—省级—全国”三级协同的信息化管理体系，填补我国农资仓储信息化领域标准空白，完善农业信息化标准体系，服务乡村振兴战略。</w:t>
      </w:r>
    </w:p>
    <w:p w14:paraId="5D379A2F">
      <w:pPr>
        <w:spacing w:line="480" w:lineRule="exact"/>
        <w:ind w:firstLine="422" w:firstLineChars="200"/>
        <w:outlineLvl w:val="1"/>
        <w:rPr>
          <w:b/>
          <w:bCs/>
          <w:szCs w:val="28"/>
        </w:rPr>
      </w:pPr>
      <w:r>
        <w:rPr>
          <w:rFonts w:hint="eastAsia"/>
          <w:b/>
          <w:bCs/>
          <w:szCs w:val="28"/>
        </w:rPr>
        <w:t>（三）标准编制的目的和意义</w:t>
      </w:r>
    </w:p>
    <w:p w14:paraId="558E70AE">
      <w:pPr>
        <w:widowControl/>
        <w:spacing w:line="480" w:lineRule="exact"/>
        <w:ind w:firstLine="422" w:firstLineChars="200"/>
        <w:rPr>
          <w:rFonts w:cs="仿宋"/>
          <w:szCs w:val="28"/>
        </w:rPr>
      </w:pPr>
      <w:r>
        <w:rPr>
          <w:rFonts w:hint="eastAsia" w:cs="仿宋"/>
          <w:b/>
          <w:bCs/>
          <w:szCs w:val="28"/>
        </w:rPr>
        <w:t>1.统一技术规范，推动农资仓储数字化转型。</w:t>
      </w:r>
      <w:r>
        <w:rPr>
          <w:rFonts w:hint="eastAsia" w:cs="仿宋"/>
          <w:szCs w:val="28"/>
        </w:rPr>
        <w:t>明确农资仓库信息系统、省级平台、全国平台的功能、架构、接口和安全要求，推动系统互联互通。通过标准引导，促进传统农资仓储向数字化、智能化、平台化方向发展。</w:t>
      </w:r>
    </w:p>
    <w:p w14:paraId="762B1D8B">
      <w:pPr>
        <w:spacing w:line="480" w:lineRule="exact"/>
        <w:ind w:firstLine="422" w:firstLineChars="200"/>
        <w:rPr>
          <w:rFonts w:cs="仿宋"/>
          <w:szCs w:val="28"/>
        </w:rPr>
      </w:pPr>
      <w:r>
        <w:rPr>
          <w:rFonts w:hint="eastAsia" w:cs="仿宋"/>
          <w:b/>
          <w:bCs/>
          <w:szCs w:val="28"/>
        </w:rPr>
        <w:t>2.提升管理水平，提高行业协同效率。</w:t>
      </w:r>
      <w:r>
        <w:rPr>
          <w:rFonts w:hint="eastAsia" w:cs="仿宋"/>
          <w:szCs w:val="28"/>
        </w:rPr>
        <w:t>通过信息化手段实现农资仓储的实时监控、智能分析、动态调度和精细化管理。实现农资仓库、省级平台、全国平台之间的数据共享与业务协同，提升供应链整体运行效率。</w:t>
      </w:r>
    </w:p>
    <w:p w14:paraId="6B099AA4">
      <w:pPr>
        <w:spacing w:line="480" w:lineRule="exact"/>
        <w:ind w:firstLine="422" w:firstLineChars="200"/>
        <w:rPr>
          <w:rFonts w:cs="仿宋"/>
          <w:szCs w:val="28"/>
        </w:rPr>
      </w:pPr>
      <w:r>
        <w:rPr>
          <w:rFonts w:hint="eastAsia" w:cs="仿宋"/>
          <w:b/>
          <w:bCs/>
          <w:szCs w:val="28"/>
        </w:rPr>
        <w:t>3.保障农资安全。</w:t>
      </w:r>
      <w:r>
        <w:rPr>
          <w:rFonts w:hint="eastAsia" w:cs="仿宋"/>
          <w:szCs w:val="28"/>
        </w:rPr>
        <w:t>建立健全的数据采集、传输、存储和使用机制，增强农资仓储的可追溯性和应急响应能力。</w:t>
      </w:r>
    </w:p>
    <w:p w14:paraId="58E1663F">
      <w:pPr>
        <w:spacing w:line="480" w:lineRule="exact"/>
        <w:ind w:firstLine="422" w:firstLineChars="200"/>
        <w:rPr>
          <w:rFonts w:cs="仿宋"/>
          <w:szCs w:val="28"/>
        </w:rPr>
      </w:pPr>
      <w:r>
        <w:rPr>
          <w:rFonts w:hint="eastAsia" w:cs="仿宋"/>
          <w:b/>
          <w:bCs/>
          <w:szCs w:val="28"/>
        </w:rPr>
        <w:t>4.支撑政策落地，增强国家农资安全保障能力。</w:t>
      </w:r>
      <w:r>
        <w:rPr>
          <w:rFonts w:hint="eastAsia" w:cs="仿宋"/>
          <w:szCs w:val="28"/>
        </w:rPr>
        <w:t>为政府监管部门提供数据支撑，服务于农资储备、价格调控、打假监管等政策实施，为国家层面农资储备调度、应急处置、宏观调控提供技术支撑。</w:t>
      </w:r>
    </w:p>
    <w:p w14:paraId="2CFE4832">
      <w:pPr>
        <w:widowControl/>
        <w:spacing w:line="480" w:lineRule="exact"/>
        <w:ind w:firstLine="422" w:firstLineChars="200"/>
        <w:outlineLvl w:val="0"/>
        <w:rPr>
          <w:b/>
          <w:bCs/>
          <w:szCs w:val="28"/>
        </w:rPr>
      </w:pPr>
      <w:bookmarkStart w:id="27" w:name="_Toc2200"/>
      <w:bookmarkStart w:id="28" w:name="_Toc16261"/>
      <w:bookmarkStart w:id="29" w:name="_Toc17539"/>
      <w:bookmarkStart w:id="30" w:name="_Toc6278"/>
      <w:bookmarkStart w:id="31" w:name="_Toc10473"/>
      <w:bookmarkStart w:id="32" w:name="_Toc30512"/>
      <w:bookmarkStart w:id="33" w:name="_Toc11169"/>
      <w:bookmarkStart w:id="34" w:name="_Toc10824"/>
      <w:bookmarkStart w:id="35" w:name="_Toc1195"/>
      <w:r>
        <w:rPr>
          <w:rFonts w:hint="eastAsia"/>
          <w:b/>
          <w:bCs/>
          <w:szCs w:val="28"/>
        </w:rPr>
        <w:t>（四）起草过程</w:t>
      </w:r>
      <w:bookmarkEnd w:id="27"/>
      <w:bookmarkEnd w:id="28"/>
      <w:bookmarkEnd w:id="29"/>
    </w:p>
    <w:p w14:paraId="4CB916C0">
      <w:pPr>
        <w:widowControl/>
        <w:spacing w:line="480" w:lineRule="exact"/>
        <w:ind w:firstLine="422" w:firstLineChars="200"/>
        <w:outlineLvl w:val="1"/>
        <w:rPr>
          <w:b/>
          <w:bCs/>
          <w:szCs w:val="28"/>
        </w:rPr>
      </w:pPr>
      <w:r>
        <w:rPr>
          <w:rFonts w:hint="eastAsia"/>
          <w:b/>
          <w:bCs/>
          <w:szCs w:val="28"/>
        </w:rPr>
        <w:t>1.成立标准编制组</w:t>
      </w:r>
    </w:p>
    <w:p w14:paraId="37CA98E4">
      <w:pPr>
        <w:widowControl/>
        <w:numPr>
          <w:ilvl w:val="255"/>
          <w:numId w:val="0"/>
        </w:numPr>
        <w:spacing w:line="480" w:lineRule="exact"/>
        <w:ind w:firstLine="420" w:firstLineChars="200"/>
        <w:jc w:val="left"/>
        <w:rPr>
          <w:rFonts w:cs="仿宋"/>
          <w:szCs w:val="28"/>
        </w:rPr>
      </w:pPr>
      <w:r>
        <w:rPr>
          <w:rFonts w:hint="eastAsia" w:cs="仿宋"/>
          <w:szCs w:val="28"/>
        </w:rPr>
        <w:t>2025年10月，总社下发《关于下达2025年供销合作社归口标准体系与行业品牌建设项目计划的通知》（供销厅科社〔2025〕43号）后，中国农业生产资料流通</w:t>
      </w:r>
      <w:bookmarkStart w:id="119" w:name="_GoBack"/>
      <w:bookmarkEnd w:id="119"/>
      <w:r>
        <w:rPr>
          <w:rFonts w:hint="eastAsia" w:cs="仿宋"/>
          <w:szCs w:val="28"/>
        </w:rPr>
        <w:t>协会作为该标准的主要承担单位，高度重视编制工作，与国家粮食和物资储备局科学研究院、中国农业生产资料集团有限公司、中农聚田（北京）农业科技有限公司、安徽辉隆农资集团股份有限公司、浙农集团股份有限公司、黑龙江倍丰农业生产资料集团有限公司、广东天禾农资股份有限公司、太极计算机股份有限公司等共同组成起草单位，于2025年11月成立了《农资仓储信息化建设规范》供销合作行业标准编制工作组，正式开始该标准草案的研究和编制工作。2025年12月，编制组进一步明确了内部分工，制定了工作计划。</w:t>
      </w:r>
    </w:p>
    <w:p w14:paraId="5B53395D">
      <w:pPr>
        <w:widowControl/>
        <w:spacing w:line="480" w:lineRule="exact"/>
        <w:ind w:firstLine="422" w:firstLineChars="200"/>
        <w:outlineLvl w:val="1"/>
        <w:rPr>
          <w:b/>
          <w:bCs/>
          <w:szCs w:val="28"/>
        </w:rPr>
      </w:pPr>
      <w:r>
        <w:rPr>
          <w:rFonts w:hint="eastAsia"/>
          <w:b/>
          <w:bCs/>
          <w:szCs w:val="28"/>
        </w:rPr>
        <w:t>2.资料收集</w:t>
      </w:r>
    </w:p>
    <w:p w14:paraId="512462BB">
      <w:pPr>
        <w:widowControl/>
        <w:numPr>
          <w:ilvl w:val="255"/>
          <w:numId w:val="0"/>
        </w:numPr>
        <w:spacing w:line="480" w:lineRule="exact"/>
        <w:ind w:firstLine="420" w:firstLineChars="200"/>
        <w:jc w:val="left"/>
        <w:rPr>
          <w:rFonts w:cs="仿宋"/>
          <w:szCs w:val="28"/>
        </w:rPr>
      </w:pPr>
      <w:r>
        <w:rPr>
          <w:rFonts w:hint="eastAsia" w:cs="仿宋"/>
          <w:szCs w:val="28"/>
        </w:rPr>
        <w:t>编制组在标准草案编制过程中，对农资仓储信息化建设的有关文件、资料进行了系统收集。这些资料包括：国家相关部门发布的农资仓储信息化方面的相关政策、法律法规要求，国家和有关行业颁布的相关标准和规定等，国内农资企业在农资仓储信息化建设方面的工作开展情况等。同时对上述要求、规定和理论进行了系统分析和研究。</w:t>
      </w:r>
    </w:p>
    <w:p w14:paraId="130A7BEC">
      <w:pPr>
        <w:widowControl/>
        <w:spacing w:line="480" w:lineRule="exact"/>
        <w:ind w:firstLine="422" w:firstLineChars="200"/>
        <w:outlineLvl w:val="1"/>
        <w:rPr>
          <w:b/>
          <w:bCs/>
          <w:szCs w:val="28"/>
        </w:rPr>
      </w:pPr>
      <w:r>
        <w:rPr>
          <w:rFonts w:hint="eastAsia"/>
          <w:b/>
          <w:bCs/>
          <w:szCs w:val="28"/>
        </w:rPr>
        <w:t>3.调查研究</w:t>
      </w:r>
    </w:p>
    <w:p w14:paraId="7C4F6F6A">
      <w:pPr>
        <w:widowControl/>
        <w:numPr>
          <w:ilvl w:val="255"/>
          <w:numId w:val="0"/>
        </w:numPr>
        <w:spacing w:line="480" w:lineRule="exact"/>
        <w:ind w:firstLine="420" w:firstLineChars="200"/>
        <w:jc w:val="left"/>
        <w:rPr>
          <w:rFonts w:cs="仿宋"/>
          <w:szCs w:val="28"/>
        </w:rPr>
      </w:pPr>
      <w:r>
        <w:rPr>
          <w:rFonts w:hint="eastAsia" w:cs="仿宋"/>
          <w:szCs w:val="28"/>
        </w:rPr>
        <w:t>为使标准的编制内容更加符合当前行业发展的实际要求，项目组按照工作计划开展了调研。通过电话咨询、定向征求意见等方式，对</w:t>
      </w:r>
      <w:r>
        <w:rPr>
          <w:rFonts w:cs="仿宋"/>
          <w:szCs w:val="28"/>
        </w:rPr>
        <w:t>其</w:t>
      </w:r>
      <w:r>
        <w:rPr>
          <w:rFonts w:hint="eastAsia" w:cs="仿宋"/>
          <w:szCs w:val="28"/>
        </w:rPr>
        <w:t>农资仓储信息化建设的应用情况、存在问题及需求等情况进行调研和总结，为标准初稿的起草提供了坚实的实践基础。</w:t>
      </w:r>
    </w:p>
    <w:p w14:paraId="03B1D973">
      <w:pPr>
        <w:widowControl/>
        <w:spacing w:line="480" w:lineRule="exact"/>
        <w:ind w:firstLine="422" w:firstLineChars="200"/>
        <w:outlineLvl w:val="1"/>
        <w:rPr>
          <w:b/>
          <w:bCs/>
          <w:szCs w:val="28"/>
        </w:rPr>
      </w:pPr>
      <w:r>
        <w:rPr>
          <w:rFonts w:hint="eastAsia"/>
          <w:b/>
          <w:bCs/>
          <w:szCs w:val="28"/>
        </w:rPr>
        <w:t>4.起草并形成标准征求意见稿</w:t>
      </w:r>
    </w:p>
    <w:p w14:paraId="69C963B6">
      <w:pPr>
        <w:widowControl/>
        <w:numPr>
          <w:ilvl w:val="255"/>
          <w:numId w:val="0"/>
        </w:numPr>
        <w:spacing w:line="480" w:lineRule="exact"/>
        <w:ind w:firstLine="420" w:firstLineChars="200"/>
        <w:jc w:val="left"/>
        <w:rPr>
          <w:rFonts w:cs="仿宋"/>
          <w:szCs w:val="28"/>
        </w:rPr>
      </w:pPr>
      <w:r>
        <w:rPr>
          <w:rFonts w:hint="eastAsia" w:cs="仿宋"/>
          <w:szCs w:val="28"/>
        </w:rPr>
        <w:t>经编制单位共同努力，于2026年4月形成《农资仓储信息化建设规范（征求意见稿）》。</w:t>
      </w:r>
    </w:p>
    <w:bookmarkEnd w:id="30"/>
    <w:bookmarkEnd w:id="31"/>
    <w:bookmarkEnd w:id="32"/>
    <w:bookmarkEnd w:id="33"/>
    <w:bookmarkEnd w:id="34"/>
    <w:bookmarkEnd w:id="35"/>
    <w:p w14:paraId="0A667AAD">
      <w:pPr>
        <w:widowControl/>
        <w:spacing w:line="480" w:lineRule="exact"/>
        <w:ind w:firstLine="422" w:firstLineChars="200"/>
        <w:outlineLvl w:val="0"/>
        <w:rPr>
          <w:b/>
          <w:bCs/>
          <w:szCs w:val="28"/>
        </w:rPr>
      </w:pPr>
      <w:bookmarkStart w:id="36" w:name="_Toc1612"/>
      <w:bookmarkStart w:id="37" w:name="_Toc10286"/>
      <w:bookmarkStart w:id="38" w:name="_Toc17421"/>
      <w:bookmarkStart w:id="39" w:name="_Toc18411"/>
      <w:bookmarkStart w:id="40" w:name="_Toc320021800"/>
      <w:bookmarkStart w:id="41" w:name="_Toc12498"/>
      <w:bookmarkStart w:id="42" w:name="_Toc26825"/>
      <w:r>
        <w:rPr>
          <w:b/>
          <w:bCs/>
          <w:szCs w:val="28"/>
        </w:rPr>
        <w:t>二、</w:t>
      </w:r>
      <w:r>
        <w:rPr>
          <w:rFonts w:hint="eastAsia"/>
          <w:b/>
          <w:bCs/>
          <w:szCs w:val="28"/>
        </w:rPr>
        <w:t>行业</w:t>
      </w:r>
      <w:r>
        <w:rPr>
          <w:b/>
          <w:bCs/>
          <w:szCs w:val="28"/>
        </w:rPr>
        <w:t>标准编制原则、主要内容及其确定依据</w:t>
      </w:r>
      <w:bookmarkEnd w:id="36"/>
      <w:bookmarkEnd w:id="37"/>
      <w:bookmarkEnd w:id="38"/>
    </w:p>
    <w:p w14:paraId="7A9539F0">
      <w:pPr>
        <w:widowControl/>
        <w:spacing w:line="480" w:lineRule="exact"/>
        <w:ind w:firstLine="422" w:firstLineChars="200"/>
        <w:outlineLvl w:val="0"/>
        <w:rPr>
          <w:b/>
          <w:bCs/>
          <w:szCs w:val="28"/>
        </w:rPr>
      </w:pPr>
      <w:bookmarkStart w:id="43" w:name="_Toc21353"/>
      <w:bookmarkStart w:id="44" w:name="_Toc17023"/>
      <w:bookmarkStart w:id="45" w:name="_Toc13892"/>
      <w:r>
        <w:rPr>
          <w:rFonts w:hint="eastAsia"/>
          <w:b/>
          <w:bCs/>
          <w:szCs w:val="28"/>
        </w:rPr>
        <w:t>（一）标准制定原则</w:t>
      </w:r>
      <w:bookmarkEnd w:id="39"/>
      <w:bookmarkEnd w:id="40"/>
      <w:bookmarkEnd w:id="41"/>
      <w:bookmarkEnd w:id="42"/>
      <w:bookmarkEnd w:id="43"/>
      <w:bookmarkEnd w:id="44"/>
      <w:bookmarkEnd w:id="45"/>
    </w:p>
    <w:p w14:paraId="5AABBCFD">
      <w:pPr>
        <w:widowControl/>
        <w:spacing w:line="480" w:lineRule="exact"/>
        <w:ind w:firstLine="420" w:firstLineChars="200"/>
        <w:jc w:val="left"/>
        <w:rPr>
          <w:szCs w:val="28"/>
          <w:lang w:val="zh-CN"/>
        </w:rPr>
      </w:pPr>
      <w:r>
        <w:rPr>
          <w:rFonts w:hint="eastAsia"/>
          <w:szCs w:val="28"/>
          <w:lang w:val="zh-CN"/>
        </w:rPr>
        <w:t>本标准依据G</w:t>
      </w:r>
      <w:r>
        <w:rPr>
          <w:szCs w:val="28"/>
          <w:lang w:val="zh-CN"/>
        </w:rPr>
        <w:t>B</w:t>
      </w:r>
      <w:r>
        <w:rPr>
          <w:rFonts w:hint="eastAsia"/>
          <w:szCs w:val="28"/>
          <w:lang w:val="zh-CN"/>
        </w:rPr>
        <w:t>/</w:t>
      </w:r>
      <w:r>
        <w:rPr>
          <w:szCs w:val="28"/>
          <w:lang w:val="zh-CN"/>
        </w:rPr>
        <w:t>T 1.1</w:t>
      </w:r>
      <w:r>
        <w:rPr>
          <w:rFonts w:hint="eastAsia"/>
          <w:szCs w:val="28"/>
          <w:lang w:val="zh-CN"/>
        </w:rPr>
        <w:t>-2020《标准化工作导则  第1部分：标准化文件的结构和起草规则》规定的规则制定，在标准编制方面遵从的具体原则是：</w:t>
      </w:r>
    </w:p>
    <w:p w14:paraId="7CB49DFF">
      <w:pPr>
        <w:autoSpaceDE w:val="0"/>
        <w:autoSpaceDN w:val="0"/>
        <w:spacing w:line="480" w:lineRule="exact"/>
        <w:ind w:firstLine="422" w:firstLineChars="200"/>
        <w:rPr>
          <w:rFonts w:cs="仿宋"/>
          <w:b/>
          <w:bCs/>
          <w:szCs w:val="28"/>
        </w:rPr>
      </w:pPr>
      <w:bookmarkStart w:id="46" w:name="_Toc320021802"/>
      <w:r>
        <w:rPr>
          <w:rFonts w:hint="eastAsia"/>
          <w:b/>
          <w:bCs/>
          <w:szCs w:val="28"/>
        </w:rPr>
        <w:t>1.</w:t>
      </w:r>
      <w:r>
        <w:rPr>
          <w:rFonts w:hint="eastAsia" w:cs="仿宋"/>
          <w:b/>
          <w:bCs/>
          <w:szCs w:val="28"/>
        </w:rPr>
        <w:t xml:space="preserve"> 统筹协调原则</w:t>
      </w:r>
    </w:p>
    <w:p w14:paraId="24C3FD23">
      <w:pPr>
        <w:spacing w:line="480" w:lineRule="exact"/>
        <w:ind w:firstLine="420" w:firstLineChars="200"/>
        <w:rPr>
          <w:rFonts w:cs="仿宋"/>
          <w:szCs w:val="28"/>
        </w:rPr>
      </w:pPr>
      <w:r>
        <w:rPr>
          <w:rFonts w:hint="eastAsia" w:cs="仿宋"/>
          <w:szCs w:val="28"/>
        </w:rPr>
        <w:t>兼顾国家政策导向、行业管理需求和企业实际应用，确保标准与国家信息化发展战略、农资管理政策、网络安全法规等相衔接。统筹考虑全国平台、省级平台和仓库信息系统的功能定位和协同关系。</w:t>
      </w:r>
    </w:p>
    <w:p w14:paraId="4516EDC0">
      <w:pPr>
        <w:spacing w:line="480" w:lineRule="exact"/>
        <w:ind w:firstLine="422" w:firstLineChars="200"/>
        <w:outlineLvl w:val="1"/>
        <w:rPr>
          <w:b/>
          <w:bCs/>
          <w:szCs w:val="28"/>
        </w:rPr>
      </w:pPr>
      <w:r>
        <w:rPr>
          <w:b/>
          <w:bCs/>
          <w:szCs w:val="28"/>
        </w:rPr>
        <w:t>2</w:t>
      </w:r>
      <w:r>
        <w:rPr>
          <w:rFonts w:hint="eastAsia"/>
          <w:b/>
          <w:bCs/>
          <w:szCs w:val="28"/>
        </w:rPr>
        <w:t>.经济适用原则‌</w:t>
      </w:r>
    </w:p>
    <w:p w14:paraId="47D539FB">
      <w:pPr>
        <w:spacing w:line="480" w:lineRule="exact"/>
        <w:ind w:firstLine="420" w:firstLineChars="200"/>
        <w:rPr>
          <w:rFonts w:cs="仿宋"/>
          <w:szCs w:val="28"/>
        </w:rPr>
      </w:pPr>
      <w:r>
        <w:rPr>
          <w:rFonts w:hint="eastAsia" w:cs="仿宋"/>
          <w:szCs w:val="28"/>
        </w:rPr>
        <w:t>在满足功能和安全要求的前提下，尽量降低系统建设和运维成本，避免过度设计。鼓励利用云计算、虚拟平台等技术手段，减少基层单位重复建设。</w:t>
      </w:r>
    </w:p>
    <w:p w14:paraId="759A3033">
      <w:pPr>
        <w:spacing w:line="480" w:lineRule="exact"/>
        <w:ind w:firstLine="422" w:firstLineChars="200"/>
        <w:outlineLvl w:val="1"/>
        <w:rPr>
          <w:b/>
          <w:bCs/>
          <w:szCs w:val="28"/>
        </w:rPr>
      </w:pPr>
      <w:r>
        <w:rPr>
          <w:b/>
          <w:bCs/>
          <w:szCs w:val="28"/>
        </w:rPr>
        <w:t>3</w:t>
      </w:r>
      <w:r>
        <w:rPr>
          <w:rFonts w:hint="eastAsia"/>
          <w:b/>
          <w:bCs/>
          <w:szCs w:val="28"/>
        </w:rPr>
        <w:t>.安全可靠原则</w:t>
      </w:r>
    </w:p>
    <w:p w14:paraId="1B231D85">
      <w:pPr>
        <w:spacing w:line="480" w:lineRule="exact"/>
        <w:ind w:firstLine="420" w:firstLineChars="200"/>
        <w:rPr>
          <w:rFonts w:cs="仿宋"/>
          <w:szCs w:val="28"/>
        </w:rPr>
      </w:pPr>
      <w:r>
        <w:rPr>
          <w:rFonts w:hint="eastAsia" w:cs="仿宋"/>
          <w:szCs w:val="28"/>
        </w:rPr>
        <w:t>强化信息安全、网络安全、主机安全、运维保障等要求，确保系统稳定运行和数据安全。强调视频监控设备在线率、数据备份、用户分级管理等关键安全机制。</w:t>
      </w:r>
    </w:p>
    <w:p w14:paraId="66023987">
      <w:pPr>
        <w:spacing w:line="480" w:lineRule="exact"/>
        <w:ind w:firstLine="422" w:firstLineChars="200"/>
        <w:outlineLvl w:val="1"/>
        <w:rPr>
          <w:b/>
          <w:bCs/>
          <w:szCs w:val="28"/>
        </w:rPr>
      </w:pPr>
      <w:r>
        <w:rPr>
          <w:b/>
          <w:bCs/>
          <w:szCs w:val="28"/>
        </w:rPr>
        <w:t>4</w:t>
      </w:r>
      <w:r>
        <w:rPr>
          <w:rFonts w:hint="eastAsia"/>
          <w:b/>
          <w:bCs/>
          <w:szCs w:val="28"/>
        </w:rPr>
        <w:t>.可扩展原则</w:t>
      </w:r>
    </w:p>
    <w:p w14:paraId="66395743">
      <w:pPr>
        <w:spacing w:line="480" w:lineRule="exact"/>
        <w:ind w:firstLine="420" w:firstLineChars="200"/>
        <w:rPr>
          <w:rFonts w:cs="仿宋"/>
          <w:szCs w:val="28"/>
        </w:rPr>
      </w:pPr>
      <w:r>
        <w:rPr>
          <w:rFonts w:hint="eastAsia" w:cs="仿宋"/>
          <w:szCs w:val="28"/>
        </w:rPr>
        <w:t>技术架构和功能模块设计具有一定的前瞻性和可扩展性，便于未来引入大数据、人工智能、物联网等新技术。支持云平台部署和虚拟平台构建，适应不同层级、不同规模用户的需求。</w:t>
      </w:r>
    </w:p>
    <w:p w14:paraId="210FB995">
      <w:pPr>
        <w:widowControl/>
        <w:spacing w:line="480" w:lineRule="exact"/>
        <w:ind w:firstLine="422" w:firstLineChars="200"/>
        <w:jc w:val="left"/>
        <w:rPr>
          <w:b/>
          <w:bCs/>
          <w:szCs w:val="28"/>
        </w:rPr>
      </w:pPr>
      <w:bookmarkStart w:id="47" w:name="_Toc320021801"/>
      <w:r>
        <w:rPr>
          <w:rFonts w:hint="eastAsia"/>
          <w:b/>
          <w:bCs/>
          <w:szCs w:val="28"/>
        </w:rPr>
        <w:t>5.标准编制的参考依据</w:t>
      </w:r>
    </w:p>
    <w:p w14:paraId="09179F26">
      <w:pPr>
        <w:widowControl/>
        <w:spacing w:line="480" w:lineRule="exact"/>
        <w:ind w:firstLine="420" w:firstLineChars="200"/>
        <w:jc w:val="left"/>
        <w:rPr>
          <w:szCs w:val="28"/>
          <w:lang w:val="zh-CN"/>
        </w:rPr>
      </w:pPr>
      <w:r>
        <w:rPr>
          <w:rFonts w:hint="eastAsia"/>
          <w:szCs w:val="28"/>
          <w:lang w:val="zh-CN"/>
        </w:rPr>
        <w:t>GB/T 2887 《计算机场地通用规范》</w:t>
      </w:r>
    </w:p>
    <w:p w14:paraId="5D4EB2B5">
      <w:pPr>
        <w:widowControl/>
        <w:spacing w:line="480" w:lineRule="exact"/>
        <w:ind w:firstLine="420" w:firstLineChars="200"/>
        <w:jc w:val="left"/>
        <w:rPr>
          <w:szCs w:val="28"/>
          <w:lang w:val="zh-CN"/>
        </w:rPr>
      </w:pPr>
      <w:r>
        <w:rPr>
          <w:rFonts w:hint="eastAsia"/>
          <w:szCs w:val="28"/>
          <w:lang w:val="zh-CN"/>
        </w:rPr>
        <w:t>GB/T 8567 《计算机软件文档编制规范》</w:t>
      </w:r>
    </w:p>
    <w:p w14:paraId="4F5D083C">
      <w:pPr>
        <w:widowControl/>
        <w:spacing w:line="480" w:lineRule="exact"/>
        <w:ind w:firstLine="420" w:firstLineChars="200"/>
        <w:jc w:val="left"/>
        <w:rPr>
          <w:szCs w:val="28"/>
          <w:lang w:val="zh-CN"/>
        </w:rPr>
      </w:pPr>
      <w:r>
        <w:rPr>
          <w:rFonts w:hint="eastAsia"/>
          <w:szCs w:val="28"/>
          <w:lang w:val="zh-CN"/>
        </w:rPr>
        <w:t>GB/T 9385 《计算机软件需求规格说明规范》</w:t>
      </w:r>
    </w:p>
    <w:p w14:paraId="5033A966">
      <w:pPr>
        <w:widowControl/>
        <w:spacing w:line="480" w:lineRule="exact"/>
        <w:ind w:firstLine="420" w:firstLineChars="200"/>
        <w:jc w:val="left"/>
        <w:rPr>
          <w:szCs w:val="28"/>
          <w:lang w:val="zh-CN"/>
        </w:rPr>
      </w:pPr>
      <w:r>
        <w:rPr>
          <w:rFonts w:hint="eastAsia"/>
          <w:szCs w:val="28"/>
          <w:lang w:val="zh-CN"/>
        </w:rPr>
        <w:t>GB/T 11457 《软件工程术语》</w:t>
      </w:r>
    </w:p>
    <w:p w14:paraId="6D15ED02">
      <w:pPr>
        <w:widowControl/>
        <w:spacing w:line="480" w:lineRule="exact"/>
        <w:ind w:firstLine="420" w:firstLineChars="200"/>
        <w:jc w:val="left"/>
        <w:rPr>
          <w:szCs w:val="28"/>
          <w:lang w:val="zh-CN"/>
        </w:rPr>
      </w:pPr>
      <w:r>
        <w:rPr>
          <w:rFonts w:hint="eastAsia"/>
          <w:szCs w:val="28"/>
          <w:lang w:val="zh-CN"/>
        </w:rPr>
        <w:t>GB/T 14394 《计算机电脑软件可靠性和可维护性管理》</w:t>
      </w:r>
    </w:p>
    <w:p w14:paraId="2E04F3C1">
      <w:pPr>
        <w:widowControl/>
        <w:spacing w:line="480" w:lineRule="exact"/>
        <w:ind w:firstLine="420" w:firstLineChars="200"/>
        <w:jc w:val="left"/>
        <w:rPr>
          <w:szCs w:val="28"/>
          <w:lang w:val="zh-CN"/>
        </w:rPr>
      </w:pPr>
      <w:r>
        <w:rPr>
          <w:rFonts w:hint="eastAsia"/>
          <w:szCs w:val="28"/>
          <w:lang w:val="zh-CN"/>
        </w:rPr>
        <w:t>GB/T 20988 《信息安全技术 信息系统灾难恢复规范》</w:t>
      </w:r>
    </w:p>
    <w:p w14:paraId="6D448762">
      <w:pPr>
        <w:widowControl/>
        <w:spacing w:line="480" w:lineRule="exact"/>
        <w:ind w:firstLine="420" w:firstLineChars="200"/>
        <w:jc w:val="left"/>
        <w:rPr>
          <w:szCs w:val="28"/>
          <w:lang w:val="zh-CN"/>
        </w:rPr>
      </w:pPr>
      <w:r>
        <w:rPr>
          <w:rFonts w:hint="eastAsia"/>
          <w:szCs w:val="28"/>
          <w:lang w:val="zh-CN"/>
        </w:rPr>
        <w:t>GB/T 22239 《信息系统安全等级保护基本要求》</w:t>
      </w:r>
    </w:p>
    <w:p w14:paraId="51FCE149">
      <w:pPr>
        <w:widowControl/>
        <w:spacing w:line="480" w:lineRule="exact"/>
        <w:ind w:firstLine="420" w:firstLineChars="200"/>
        <w:jc w:val="left"/>
        <w:rPr>
          <w:szCs w:val="28"/>
          <w:lang w:val="zh-CN"/>
        </w:rPr>
      </w:pPr>
      <w:r>
        <w:rPr>
          <w:rFonts w:hint="eastAsia"/>
          <w:szCs w:val="28"/>
          <w:lang w:val="zh-CN"/>
        </w:rPr>
        <w:t>GB/T 28181 《公共安全视频监控联网系统信息传输、交换、控制技术要求》</w:t>
      </w:r>
    </w:p>
    <w:p w14:paraId="06EBDCF7">
      <w:pPr>
        <w:widowControl/>
        <w:spacing w:line="480" w:lineRule="exact"/>
        <w:ind w:firstLine="420" w:firstLineChars="200"/>
        <w:jc w:val="left"/>
        <w:rPr>
          <w:szCs w:val="28"/>
          <w:lang w:val="zh-CN"/>
        </w:rPr>
      </w:pPr>
      <w:r>
        <w:rPr>
          <w:rFonts w:hint="eastAsia"/>
          <w:szCs w:val="28"/>
          <w:lang w:val="zh-CN"/>
        </w:rPr>
        <w:t>GB/T 35295 《信息技术大数据术语》</w:t>
      </w:r>
    </w:p>
    <w:p w14:paraId="73008A49">
      <w:pPr>
        <w:widowControl/>
        <w:spacing w:line="480" w:lineRule="exact"/>
        <w:ind w:firstLine="420" w:firstLineChars="200"/>
        <w:jc w:val="left"/>
        <w:rPr>
          <w:szCs w:val="28"/>
          <w:lang w:val="zh-CN"/>
        </w:rPr>
      </w:pPr>
      <w:r>
        <w:rPr>
          <w:rFonts w:hint="eastAsia"/>
          <w:szCs w:val="28"/>
          <w:lang w:val="zh-CN"/>
        </w:rPr>
        <w:t>GB/T 36958 《网络安全等级保护安全管理中心技术要求信息安全等级保护管理办法》</w:t>
      </w:r>
    </w:p>
    <w:p w14:paraId="41981D4E">
      <w:pPr>
        <w:widowControl/>
        <w:spacing w:line="480" w:lineRule="exact"/>
        <w:ind w:firstLine="420" w:firstLineChars="200"/>
        <w:outlineLvl w:val="0"/>
        <w:rPr>
          <w:b/>
          <w:bCs/>
          <w:szCs w:val="28"/>
        </w:rPr>
      </w:pPr>
      <w:r>
        <w:rPr>
          <w:rFonts w:hint="eastAsia"/>
          <w:szCs w:val="28"/>
          <w:lang w:val="zh-CN"/>
        </w:rPr>
        <w:t>T/CAMPA 004-2024 《国家战略性农资（储备）库建设与管理规范》</w:t>
      </w:r>
      <w:bookmarkEnd w:id="46"/>
      <w:bookmarkEnd w:id="47"/>
      <w:bookmarkStart w:id="48" w:name="_Toc16609"/>
      <w:bookmarkStart w:id="49" w:name="_Toc30732"/>
      <w:bookmarkStart w:id="50" w:name="_Toc27964"/>
      <w:bookmarkStart w:id="51" w:name="_Toc320021803"/>
      <w:bookmarkStart w:id="52" w:name="_Toc23241"/>
      <w:bookmarkStart w:id="53" w:name="_Toc23037"/>
      <w:bookmarkStart w:id="54" w:name="_Toc20000"/>
    </w:p>
    <w:p w14:paraId="6B2ABA1D">
      <w:pPr>
        <w:widowControl/>
        <w:spacing w:line="480" w:lineRule="exact"/>
        <w:ind w:firstLine="422" w:firstLineChars="200"/>
        <w:outlineLvl w:val="0"/>
        <w:rPr>
          <w:b/>
          <w:bCs/>
          <w:szCs w:val="28"/>
        </w:rPr>
      </w:pPr>
      <w:r>
        <w:rPr>
          <w:rFonts w:hint="eastAsia"/>
          <w:b/>
          <w:bCs/>
          <w:szCs w:val="28"/>
        </w:rPr>
        <w:t>（二）</w:t>
      </w:r>
      <w:r>
        <w:rPr>
          <w:b/>
          <w:bCs/>
          <w:szCs w:val="28"/>
        </w:rPr>
        <w:t>主要内容及其确定依据</w:t>
      </w:r>
      <w:bookmarkEnd w:id="48"/>
    </w:p>
    <w:p w14:paraId="49572966">
      <w:pPr>
        <w:spacing w:line="480" w:lineRule="exact"/>
        <w:ind w:firstLine="420" w:firstLineChars="200"/>
        <w:rPr>
          <w:rFonts w:cs="仿宋"/>
          <w:szCs w:val="28"/>
        </w:rPr>
      </w:pPr>
      <w:r>
        <w:rPr>
          <w:rFonts w:hint="eastAsia" w:cs="仿宋"/>
          <w:szCs w:val="28"/>
        </w:rPr>
        <w:t>本标准分为范围、规范性引用文件、术语与定义、总体要求、总体架构、农资仓库信息系统建设、省级平台系统建设、全国平台系统建设、系统数据互联互通、基础设施、安全与运维等11部分，主要内容如下：</w:t>
      </w:r>
    </w:p>
    <w:p w14:paraId="034D75A2">
      <w:pPr>
        <w:spacing w:line="480" w:lineRule="exact"/>
        <w:ind w:firstLine="422" w:firstLineChars="200"/>
        <w:outlineLvl w:val="1"/>
        <w:rPr>
          <w:b/>
          <w:bCs/>
          <w:szCs w:val="28"/>
        </w:rPr>
      </w:pPr>
      <w:r>
        <w:rPr>
          <w:rFonts w:hint="eastAsia"/>
          <w:b/>
          <w:bCs/>
          <w:szCs w:val="28"/>
        </w:rPr>
        <w:t>1.范围</w:t>
      </w:r>
    </w:p>
    <w:p w14:paraId="41A4690F">
      <w:pPr>
        <w:spacing w:line="480" w:lineRule="exact"/>
        <w:ind w:firstLine="420" w:firstLineChars="200"/>
        <w:rPr>
          <w:rFonts w:cs="仿宋"/>
          <w:szCs w:val="28"/>
        </w:rPr>
      </w:pPr>
      <w:r>
        <w:rPr>
          <w:rFonts w:hint="eastAsia" w:cs="仿宋"/>
          <w:szCs w:val="28"/>
        </w:rPr>
        <w:t>本文件规定了农资仓库信息系统、省级平台、全国平台的建设、数据互联互通及安全与运维要求。</w:t>
      </w:r>
    </w:p>
    <w:p w14:paraId="3BE3F52F">
      <w:pPr>
        <w:spacing w:line="480" w:lineRule="exact"/>
        <w:ind w:firstLine="420" w:firstLineChars="200"/>
        <w:jc w:val="left"/>
        <w:rPr>
          <w:rFonts w:cs="仿宋"/>
          <w:szCs w:val="28"/>
        </w:rPr>
      </w:pPr>
      <w:r>
        <w:rPr>
          <w:rFonts w:hint="eastAsia" w:cs="仿宋"/>
          <w:szCs w:val="28"/>
        </w:rPr>
        <w:t>本文件适用于农资仓储信息化体系的搭建、运行和维护。</w:t>
      </w:r>
    </w:p>
    <w:p w14:paraId="3E12504B">
      <w:pPr>
        <w:spacing w:line="480" w:lineRule="exact"/>
        <w:ind w:firstLine="422" w:firstLineChars="200"/>
        <w:outlineLvl w:val="1"/>
        <w:rPr>
          <w:b/>
          <w:bCs/>
          <w:szCs w:val="28"/>
        </w:rPr>
      </w:pPr>
      <w:r>
        <w:rPr>
          <w:rFonts w:hint="eastAsia"/>
          <w:b/>
          <w:bCs/>
          <w:szCs w:val="28"/>
        </w:rPr>
        <w:t>2.规范性引用文件</w:t>
      </w:r>
    </w:p>
    <w:p w14:paraId="4B03E1B2">
      <w:pPr>
        <w:numPr>
          <w:ilvl w:val="255"/>
          <w:numId w:val="0"/>
        </w:numPr>
        <w:spacing w:line="480" w:lineRule="exact"/>
        <w:ind w:firstLine="420" w:firstLineChars="200"/>
        <w:rPr>
          <w:rFonts w:cs="仿宋"/>
          <w:szCs w:val="28"/>
        </w:rPr>
      </w:pPr>
      <w:r>
        <w:rPr>
          <w:szCs w:val="28"/>
        </w:rPr>
        <w:t>本规范所引用的国家有关规范、规程、标准均为现行且有效的</w:t>
      </w:r>
      <w:r>
        <w:rPr>
          <w:rFonts w:hint="eastAsia"/>
          <w:szCs w:val="28"/>
        </w:rPr>
        <w:t>，在</w:t>
      </w:r>
      <w:r>
        <w:rPr>
          <w:szCs w:val="28"/>
        </w:rPr>
        <w:t>条文中给出编号，以便使用时查找。</w:t>
      </w:r>
    </w:p>
    <w:p w14:paraId="2D40716A">
      <w:pPr>
        <w:spacing w:line="480" w:lineRule="exact"/>
        <w:ind w:firstLine="422" w:firstLineChars="200"/>
        <w:outlineLvl w:val="1"/>
        <w:rPr>
          <w:b/>
          <w:bCs/>
          <w:szCs w:val="28"/>
        </w:rPr>
      </w:pPr>
      <w:r>
        <w:rPr>
          <w:rFonts w:hint="eastAsia"/>
          <w:b/>
          <w:bCs/>
          <w:szCs w:val="28"/>
        </w:rPr>
        <w:t>3.术语和定义</w:t>
      </w:r>
    </w:p>
    <w:p w14:paraId="5FA11744">
      <w:pPr>
        <w:autoSpaceDE w:val="0"/>
        <w:autoSpaceDN w:val="0"/>
        <w:spacing w:line="480" w:lineRule="exact"/>
        <w:ind w:firstLine="420" w:firstLineChars="200"/>
        <w:rPr>
          <w:szCs w:val="28"/>
        </w:rPr>
      </w:pPr>
      <w:r>
        <w:rPr>
          <w:rFonts w:hint="eastAsia"/>
          <w:szCs w:val="28"/>
        </w:rPr>
        <w:t>对农资、农资仓储信息化体系、农资仓库信息系统、省级平台、全国平台五个术语进行了定义说明，便于标准应用者理解和应用。上述术语的定义是依照立项之初和项目论证时的确认，并结合当前实际及未来发展需要综合给出的。</w:t>
      </w:r>
    </w:p>
    <w:p w14:paraId="33B8D340">
      <w:pPr>
        <w:autoSpaceDE w:val="0"/>
        <w:autoSpaceDN w:val="0"/>
        <w:spacing w:line="480" w:lineRule="exact"/>
        <w:ind w:firstLine="420" w:firstLineChars="200"/>
        <w:rPr>
          <w:rFonts w:cs="仿宋"/>
          <w:szCs w:val="28"/>
        </w:rPr>
      </w:pPr>
      <w:r>
        <w:rPr>
          <w:rFonts w:hint="eastAsia"/>
          <w:szCs w:val="28"/>
        </w:rPr>
        <w:t>其中“农资”的定义参考了GB/T 37675《农业生产资料供应服务 农资电子商务交易服务规范》相同术语的定义。“农资仓储信息化体系”的定义是根据调研，将农资仓储信息化体系建设分为农资仓库信息系统、省级平台、全国平台三级架构，在这一架构下进行建设的农资仓库信息化系统叫“农资仓储信息化体系”。之后依次对三级架构进行了具体定义，农资仓库信息系统是以仓库为主体，利用计算机软硬件、网络通信及其他设备，完成对农资仓库的购销调运、存储保管及库区管理等业务信息的采集、传输、加工、储存、更新、拓展和维护的信息系统，省级平台是省级农资仓储信息化统一管理平台，全国平台是全国农资仓储信息化统一管理平台，通过对三级架构的具体定义，实现农资仓储信息化体系建设。</w:t>
      </w:r>
    </w:p>
    <w:p w14:paraId="0724A09B">
      <w:pPr>
        <w:spacing w:line="480" w:lineRule="exact"/>
        <w:ind w:firstLine="422" w:firstLineChars="200"/>
        <w:outlineLvl w:val="1"/>
        <w:rPr>
          <w:b/>
          <w:bCs/>
          <w:szCs w:val="28"/>
        </w:rPr>
      </w:pPr>
      <w:r>
        <w:rPr>
          <w:rFonts w:hint="eastAsia"/>
          <w:b/>
          <w:bCs/>
          <w:szCs w:val="28"/>
        </w:rPr>
        <w:t>4.总体要求</w:t>
      </w:r>
    </w:p>
    <w:p w14:paraId="1326EE44">
      <w:pPr>
        <w:autoSpaceDE w:val="0"/>
        <w:autoSpaceDN w:val="0"/>
        <w:spacing w:line="480" w:lineRule="exact"/>
        <w:ind w:firstLine="420" w:firstLineChars="200"/>
        <w:rPr>
          <w:szCs w:val="28"/>
        </w:rPr>
      </w:pPr>
      <w:r>
        <w:rPr>
          <w:rFonts w:hint="eastAsia"/>
          <w:szCs w:val="28"/>
        </w:rPr>
        <w:t>本节对</w:t>
      </w:r>
      <w:r>
        <w:rPr>
          <w:rFonts w:hint="eastAsia" w:cs="仿宋"/>
          <w:szCs w:val="28"/>
        </w:rPr>
        <w:t>农资仓储信息化建设规范的总体要求进行了描述，包括建设及设计需要遵循的基本原则，需符合各级政府编制的相关规划和信息化建设要求等</w:t>
      </w:r>
      <w:r>
        <w:rPr>
          <w:rFonts w:hint="eastAsia"/>
          <w:szCs w:val="28"/>
        </w:rPr>
        <w:t>。</w:t>
      </w:r>
    </w:p>
    <w:p w14:paraId="4CAD1934">
      <w:pPr>
        <w:spacing w:line="480" w:lineRule="exact"/>
        <w:ind w:firstLine="422" w:firstLineChars="200"/>
        <w:outlineLvl w:val="1"/>
        <w:rPr>
          <w:b/>
          <w:bCs/>
          <w:szCs w:val="28"/>
        </w:rPr>
      </w:pPr>
      <w:r>
        <w:rPr>
          <w:rFonts w:hint="eastAsia"/>
          <w:b/>
          <w:bCs/>
          <w:szCs w:val="28"/>
        </w:rPr>
        <w:t>5.总体架构</w:t>
      </w:r>
    </w:p>
    <w:p w14:paraId="658C47BF">
      <w:pPr>
        <w:numPr>
          <w:ilvl w:val="255"/>
          <w:numId w:val="0"/>
        </w:numPr>
        <w:spacing w:line="480" w:lineRule="exact"/>
        <w:ind w:firstLine="420" w:firstLineChars="200"/>
        <w:rPr>
          <w:rFonts w:cs="仿宋"/>
          <w:szCs w:val="28"/>
        </w:rPr>
      </w:pPr>
      <w:r>
        <w:rPr>
          <w:rFonts w:cs="仿宋"/>
          <w:szCs w:val="28"/>
        </w:rPr>
        <w:t>本</w:t>
      </w:r>
      <w:r>
        <w:rPr>
          <w:rFonts w:hint="eastAsia"/>
          <w:szCs w:val="28"/>
        </w:rPr>
        <w:t>节</w:t>
      </w:r>
      <w:r>
        <w:rPr>
          <w:rFonts w:cs="仿宋"/>
          <w:szCs w:val="28"/>
        </w:rPr>
        <w:t>规定了</w:t>
      </w:r>
      <w:r>
        <w:rPr>
          <w:rFonts w:hint="eastAsia" w:cs="仿宋"/>
          <w:szCs w:val="28"/>
        </w:rPr>
        <w:t>农资仓储信息化建设的应用架构和技术架构，农资仓储信息化体系采用农资仓库信息系统、省级平台、全国平台三级应用架构。农资仓储信息系统可部署在农资仓库本地或者云端，数据直接上传至省级平台；省级平台将相关数据清洗、抽取和转换后上传至全国平台，可根据用户权限使用全国平台、省级平台的云服务功能。具体来看：农资仓库信息系统一般包括系统管理、购销管理、安全生产、财税与统计，并设置机房、通信网络等；省级平台通过部署仓库布局地理信息系统、业务管理系统等，实现本省农资仓储数据的监管和上传，</w:t>
      </w:r>
      <w:r>
        <w:rPr>
          <w:rFonts w:hint="eastAsia"/>
        </w:rPr>
        <w:t>做好数据归集汇总后，按统一规范对接全国平台</w:t>
      </w:r>
      <w:r>
        <w:rPr>
          <w:rFonts w:hint="eastAsia" w:cs="仿宋"/>
          <w:szCs w:val="28"/>
        </w:rPr>
        <w:t>；全国平台通过构建基础设施体系、云架构支撑体系、数据资源服务体系、应用服务体系等，实现全国农资仓库的动态管理。</w:t>
      </w:r>
    </w:p>
    <w:p w14:paraId="5269FAA9">
      <w:pPr>
        <w:spacing w:line="480" w:lineRule="exact"/>
        <w:ind w:firstLine="422" w:firstLineChars="200"/>
        <w:outlineLvl w:val="1"/>
        <w:rPr>
          <w:b/>
          <w:bCs/>
          <w:szCs w:val="28"/>
        </w:rPr>
      </w:pPr>
      <w:r>
        <w:rPr>
          <w:rFonts w:hint="eastAsia"/>
          <w:b/>
          <w:bCs/>
          <w:szCs w:val="28"/>
        </w:rPr>
        <w:t>6.农资仓库信息系统建设</w:t>
      </w:r>
    </w:p>
    <w:p w14:paraId="6D4B6E59">
      <w:pPr>
        <w:autoSpaceDE w:val="0"/>
        <w:autoSpaceDN w:val="0"/>
        <w:spacing w:line="480" w:lineRule="exact"/>
        <w:ind w:firstLine="420" w:firstLineChars="200"/>
        <w:jc w:val="left"/>
        <w:rPr>
          <w:rFonts w:cs="仿宋"/>
          <w:szCs w:val="28"/>
        </w:rPr>
      </w:pPr>
      <w:r>
        <w:rPr>
          <w:rFonts w:hint="eastAsia" w:cs="仿宋"/>
          <w:szCs w:val="28"/>
        </w:rPr>
        <w:t>本</w:t>
      </w:r>
      <w:r>
        <w:rPr>
          <w:rFonts w:hint="eastAsia"/>
          <w:szCs w:val="28"/>
        </w:rPr>
        <w:t>节</w:t>
      </w:r>
      <w:r>
        <w:rPr>
          <w:rFonts w:hint="eastAsia" w:cs="仿宋"/>
          <w:szCs w:val="28"/>
        </w:rPr>
        <w:t>规定了农资仓库信息系统建设的主要功能，包括系统管理、购销管理、安全生产、财税与统计等业务模块。系统管理，主要是对农资仓库基础信息的管理，基础信息包括企业信息、库点信息、仓房管理和货位管理等功能点，对企业、库点、仓房和货位的基本信息的维护内容包括信息的增加、删除、修改、查询；购销管理，主要包括计划管理、合同管理、出入库信息管理和数量监测等功能；安全生产，主要具有视频监控功能；财税与统计，包括保管账和财务管理等功能。</w:t>
      </w:r>
    </w:p>
    <w:p w14:paraId="598AF0C6">
      <w:pPr>
        <w:spacing w:line="480" w:lineRule="exact"/>
        <w:ind w:firstLine="422" w:firstLineChars="200"/>
        <w:outlineLvl w:val="1"/>
        <w:rPr>
          <w:b/>
          <w:bCs/>
          <w:szCs w:val="28"/>
        </w:rPr>
      </w:pPr>
      <w:r>
        <w:rPr>
          <w:rFonts w:hint="eastAsia"/>
          <w:b/>
          <w:bCs/>
          <w:szCs w:val="28"/>
        </w:rPr>
        <w:t>7.省级平台系统建设</w:t>
      </w:r>
    </w:p>
    <w:p w14:paraId="6E1EB5C8">
      <w:pPr>
        <w:numPr>
          <w:ilvl w:val="255"/>
          <w:numId w:val="0"/>
        </w:numPr>
        <w:spacing w:line="480" w:lineRule="exact"/>
        <w:ind w:firstLine="420" w:firstLineChars="200"/>
        <w:rPr>
          <w:rFonts w:cs="仿宋"/>
          <w:szCs w:val="28"/>
        </w:rPr>
      </w:pPr>
      <w:r>
        <w:rPr>
          <w:rFonts w:hint="eastAsia" w:cs="仿宋"/>
          <w:szCs w:val="28"/>
        </w:rPr>
        <w:t>本节规定了省级平台系统建设的主要功能，包括系统功能、仓库布局地理信息系统、业务管理系统、虚拟平台。系统功能</w:t>
      </w:r>
      <w:r>
        <w:rPr>
          <w:rFonts w:hint="eastAsia"/>
        </w:rPr>
        <w:t>主要包括仓库布局地理信息系统、业务管理系统、虚拟平台等业务模块</w:t>
      </w:r>
      <w:r>
        <w:rPr>
          <w:rFonts w:hint="eastAsia" w:cs="仿宋"/>
          <w:szCs w:val="28"/>
        </w:rPr>
        <w:t>。仓库布局地理信息系统，能展示本省农资企业信息、库存数量、出入库信息、视频监控信息，可联动查看企业和仓库的动态库存；业务管理系统包括</w:t>
      </w:r>
      <w:r>
        <w:rPr>
          <w:rFonts w:hint="eastAsia"/>
        </w:rPr>
        <w:t>农资仓储和专项考核</w:t>
      </w:r>
      <w:r>
        <w:rPr>
          <w:rFonts w:hint="eastAsia" w:cs="仿宋"/>
          <w:szCs w:val="28"/>
        </w:rPr>
        <w:t>。</w:t>
      </w:r>
    </w:p>
    <w:p w14:paraId="33AD3880">
      <w:pPr>
        <w:spacing w:line="480" w:lineRule="exact"/>
        <w:ind w:firstLine="422" w:firstLineChars="200"/>
        <w:outlineLvl w:val="1"/>
        <w:rPr>
          <w:b/>
          <w:bCs/>
          <w:szCs w:val="28"/>
        </w:rPr>
      </w:pPr>
      <w:r>
        <w:rPr>
          <w:rFonts w:hint="eastAsia"/>
          <w:b/>
          <w:bCs/>
          <w:szCs w:val="28"/>
        </w:rPr>
        <w:t>8.全国平台系统建设</w:t>
      </w:r>
    </w:p>
    <w:p w14:paraId="2114B420">
      <w:pPr>
        <w:numPr>
          <w:ilvl w:val="255"/>
          <w:numId w:val="0"/>
        </w:numPr>
        <w:spacing w:line="480" w:lineRule="exact"/>
        <w:ind w:firstLine="420" w:firstLineChars="200"/>
        <w:rPr>
          <w:rFonts w:cs="仿宋"/>
          <w:szCs w:val="28"/>
        </w:rPr>
      </w:pPr>
      <w:r>
        <w:rPr>
          <w:rFonts w:hint="eastAsia" w:cs="仿宋"/>
          <w:szCs w:val="28"/>
        </w:rPr>
        <w:t>本节规定了全国农资企业仓库的基础设施、仓房容量、农资品类、数量等信息，提供大数据分析及可视化展示，为农资仓储的数量安全、流通调度、应急处置、业务管理、宏观调控提供服务。</w:t>
      </w:r>
    </w:p>
    <w:p w14:paraId="047F6C6A">
      <w:pPr>
        <w:spacing w:line="480" w:lineRule="exact"/>
        <w:ind w:firstLine="422" w:firstLineChars="200"/>
        <w:outlineLvl w:val="1"/>
        <w:rPr>
          <w:b/>
          <w:bCs/>
          <w:szCs w:val="28"/>
        </w:rPr>
      </w:pPr>
      <w:r>
        <w:rPr>
          <w:rFonts w:hint="eastAsia"/>
          <w:b/>
          <w:bCs/>
          <w:szCs w:val="28"/>
        </w:rPr>
        <w:t>9.系统数据互联互通</w:t>
      </w:r>
    </w:p>
    <w:p w14:paraId="18206526">
      <w:pPr>
        <w:numPr>
          <w:ilvl w:val="255"/>
          <w:numId w:val="0"/>
        </w:numPr>
        <w:spacing w:line="480" w:lineRule="exact"/>
        <w:ind w:firstLine="420" w:firstLineChars="200"/>
        <w:rPr>
          <w:rFonts w:cs="仿宋"/>
          <w:szCs w:val="28"/>
        </w:rPr>
      </w:pPr>
      <w:r>
        <w:rPr>
          <w:rFonts w:hint="eastAsia" w:cs="仿宋"/>
          <w:szCs w:val="28"/>
        </w:rPr>
        <w:t>本节规定了系统数据互联互通的总体要求，包括规定了全国平台系统的数据接口服务和省级平台系统与农资仓库信息系统的数据传输过程。</w:t>
      </w:r>
    </w:p>
    <w:p w14:paraId="3F534BE8">
      <w:pPr>
        <w:spacing w:line="480" w:lineRule="exact"/>
        <w:ind w:firstLine="422" w:firstLineChars="200"/>
        <w:outlineLvl w:val="1"/>
        <w:rPr>
          <w:b/>
          <w:bCs/>
          <w:szCs w:val="28"/>
        </w:rPr>
      </w:pPr>
      <w:r>
        <w:rPr>
          <w:rFonts w:hint="eastAsia"/>
          <w:b/>
          <w:bCs/>
          <w:szCs w:val="28"/>
        </w:rPr>
        <w:t>10.基础设施</w:t>
      </w:r>
    </w:p>
    <w:p w14:paraId="7FE42409">
      <w:pPr>
        <w:numPr>
          <w:ilvl w:val="255"/>
          <w:numId w:val="0"/>
        </w:numPr>
        <w:spacing w:line="480" w:lineRule="exact"/>
        <w:ind w:firstLine="420" w:firstLineChars="200"/>
        <w:rPr>
          <w:rFonts w:cs="仿宋"/>
          <w:szCs w:val="28"/>
        </w:rPr>
      </w:pPr>
      <w:r>
        <w:rPr>
          <w:rFonts w:hint="eastAsia" w:cs="仿宋"/>
          <w:szCs w:val="28"/>
        </w:rPr>
        <w:t>本节规定了农资仓库信息系统的基础设施，主要包括机房、通信网络和云平台。</w:t>
      </w:r>
    </w:p>
    <w:p w14:paraId="2BC371B6">
      <w:pPr>
        <w:spacing w:line="480" w:lineRule="exact"/>
        <w:ind w:firstLine="422" w:firstLineChars="200"/>
        <w:outlineLvl w:val="1"/>
        <w:rPr>
          <w:b/>
          <w:bCs/>
          <w:szCs w:val="28"/>
        </w:rPr>
      </w:pPr>
      <w:r>
        <w:rPr>
          <w:rFonts w:hint="eastAsia"/>
          <w:b/>
          <w:bCs/>
          <w:szCs w:val="28"/>
        </w:rPr>
        <w:t>11.安全与运维</w:t>
      </w:r>
    </w:p>
    <w:p w14:paraId="10CB193D">
      <w:pPr>
        <w:numPr>
          <w:ilvl w:val="255"/>
          <w:numId w:val="0"/>
        </w:numPr>
        <w:spacing w:line="480" w:lineRule="exact"/>
        <w:ind w:firstLine="420" w:firstLineChars="200"/>
        <w:rPr>
          <w:rFonts w:cs="仿宋"/>
          <w:szCs w:val="28"/>
        </w:rPr>
      </w:pPr>
      <w:r>
        <w:rPr>
          <w:rFonts w:hint="eastAsia" w:cs="仿宋"/>
          <w:szCs w:val="28"/>
        </w:rPr>
        <w:t>本节规定了农资仓库信息系统的</w:t>
      </w:r>
      <w:r>
        <w:rPr>
          <w:rFonts w:hint="eastAsia"/>
          <w:b/>
          <w:bCs/>
          <w:szCs w:val="28"/>
        </w:rPr>
        <w:t>安全与运维</w:t>
      </w:r>
      <w:r>
        <w:rPr>
          <w:rFonts w:hint="eastAsia" w:cs="仿宋"/>
          <w:szCs w:val="28"/>
        </w:rPr>
        <w:t>，主要包括机房、线路等物理安全，网络安全和主机应用安全。</w:t>
      </w:r>
    </w:p>
    <w:p w14:paraId="1B2B5CD2">
      <w:pPr>
        <w:widowControl/>
        <w:spacing w:line="480" w:lineRule="exact"/>
        <w:ind w:firstLine="422" w:firstLineChars="200"/>
        <w:outlineLvl w:val="0"/>
        <w:rPr>
          <w:b/>
          <w:bCs/>
          <w:szCs w:val="28"/>
        </w:rPr>
      </w:pPr>
      <w:bookmarkStart w:id="55" w:name="_Toc7724"/>
      <w:r>
        <w:rPr>
          <w:rFonts w:hint="eastAsia"/>
          <w:b/>
          <w:bCs/>
          <w:szCs w:val="28"/>
        </w:rPr>
        <w:t>三、</w:t>
      </w:r>
      <w:r>
        <w:rPr>
          <w:b/>
          <w:bCs/>
          <w:szCs w:val="28"/>
        </w:rPr>
        <w:t>试验验证的分析、综述报告，技术经济论证，预期的经济效益、社会效益和生态效益</w:t>
      </w:r>
      <w:bookmarkEnd w:id="49"/>
      <w:bookmarkEnd w:id="50"/>
      <w:bookmarkEnd w:id="55"/>
    </w:p>
    <w:p w14:paraId="099A6FEE">
      <w:pPr>
        <w:spacing w:line="480" w:lineRule="exact"/>
        <w:ind w:firstLine="422" w:firstLineChars="200"/>
        <w:outlineLvl w:val="0"/>
        <w:rPr>
          <w:b/>
          <w:bCs/>
          <w:szCs w:val="28"/>
        </w:rPr>
      </w:pPr>
      <w:bookmarkStart w:id="56" w:name="_Toc22834"/>
      <w:bookmarkStart w:id="57" w:name="_Toc31659"/>
      <w:bookmarkStart w:id="58" w:name="_Toc1879"/>
      <w:r>
        <w:rPr>
          <w:rFonts w:hint="eastAsia"/>
          <w:b/>
          <w:bCs/>
          <w:szCs w:val="28"/>
        </w:rPr>
        <w:t>（一）本标准不涉及相关</w:t>
      </w:r>
      <w:r>
        <w:rPr>
          <w:b/>
          <w:bCs/>
          <w:szCs w:val="28"/>
        </w:rPr>
        <w:t>试验验证</w:t>
      </w:r>
      <w:bookmarkEnd w:id="56"/>
      <w:bookmarkEnd w:id="57"/>
      <w:bookmarkEnd w:id="58"/>
    </w:p>
    <w:p w14:paraId="142EC053">
      <w:pPr>
        <w:pStyle w:val="27"/>
        <w:tabs>
          <w:tab w:val="center" w:pos="4201"/>
          <w:tab w:val="right" w:leader="dot" w:pos="9298"/>
        </w:tabs>
        <w:spacing w:line="480" w:lineRule="exact"/>
        <w:ind w:firstLine="420"/>
        <w:rPr>
          <w:rFonts w:ascii="Times New Roman" w:cs="仿宋"/>
          <w:szCs w:val="28"/>
        </w:rPr>
      </w:pPr>
      <w:bookmarkStart w:id="59" w:name="_Toc16828"/>
      <w:bookmarkStart w:id="60" w:name="_Toc29231"/>
      <w:r>
        <w:rPr>
          <w:rFonts w:hint="eastAsia" w:ascii="Times New Roman" w:cs="仿宋"/>
          <w:szCs w:val="28"/>
        </w:rPr>
        <w:t>本标准不涉及进行试验验证及技术经济论证等，在制定过程中未出现重大分歧意见。</w:t>
      </w:r>
    </w:p>
    <w:p w14:paraId="2E1D9EA4">
      <w:pPr>
        <w:spacing w:line="480" w:lineRule="exact"/>
        <w:ind w:firstLine="422" w:firstLineChars="200"/>
        <w:outlineLvl w:val="0"/>
        <w:rPr>
          <w:szCs w:val="28"/>
        </w:rPr>
      </w:pPr>
      <w:bookmarkStart w:id="61" w:name="_Toc18173"/>
      <w:r>
        <w:rPr>
          <w:rFonts w:hint="eastAsia"/>
          <w:b/>
          <w:bCs/>
          <w:szCs w:val="28"/>
        </w:rPr>
        <w:t>（二）</w:t>
      </w:r>
      <w:bookmarkEnd w:id="51"/>
      <w:r>
        <w:rPr>
          <w:rFonts w:hint="eastAsia"/>
          <w:b/>
          <w:bCs/>
          <w:szCs w:val="28"/>
        </w:rPr>
        <w:t>预期的经济效益、社会效益和生态效益</w:t>
      </w:r>
      <w:bookmarkEnd w:id="52"/>
      <w:bookmarkEnd w:id="53"/>
      <w:bookmarkEnd w:id="54"/>
      <w:bookmarkEnd w:id="59"/>
      <w:bookmarkEnd w:id="60"/>
      <w:bookmarkEnd w:id="61"/>
    </w:p>
    <w:p w14:paraId="40E66708">
      <w:pPr>
        <w:numPr>
          <w:ilvl w:val="255"/>
          <w:numId w:val="0"/>
        </w:numPr>
        <w:spacing w:line="480" w:lineRule="exact"/>
        <w:ind w:firstLine="420" w:firstLineChars="200"/>
        <w:rPr>
          <w:rFonts w:cs="仿宋"/>
          <w:szCs w:val="28"/>
        </w:rPr>
      </w:pPr>
      <w:bookmarkStart w:id="62" w:name="_Toc21388"/>
      <w:bookmarkStart w:id="63" w:name="_Toc3327"/>
      <w:bookmarkStart w:id="64" w:name="_Toc8707"/>
      <w:bookmarkStart w:id="65" w:name="_Toc4359"/>
      <w:bookmarkStart w:id="66" w:name="_Toc28878"/>
      <w:bookmarkStart w:id="67" w:name="_Toc6242"/>
      <w:bookmarkStart w:id="68" w:name="_Toc11237"/>
      <w:bookmarkStart w:id="69" w:name="_Toc320021804"/>
      <w:r>
        <w:rPr>
          <w:rFonts w:hint="eastAsia" w:cs="仿宋"/>
          <w:szCs w:val="28"/>
        </w:rPr>
        <w:t>标准发布实施后，从经济效益方面来看，通过信息化手段实现农资出入库、盘点、移仓等环节的自动化管理，减少人工记录、核对、报表编制等重复性工作，降低人力成本；农资仓库信息系统与省级、全国平台的数据实时同步，有助于优化库存结构，减少积压和断供，提升资金周转率；省级平台采用“云+网+端”或“云+网”架构，市、县级原则上不再新建平台，通过虚拟平台抽取功能，避免多头开发、重复投资。从社会效益来看，实现“仓库—省级—全国”三级数据互联互通，可实时掌握全国农资库存总量、分布结构、品类构成，为国家层面农资储备和调度提供可靠依据，农资仓储信息与购销计划、财务系统、专项考核等模块打通，推动农资流通、财务、考核等环节一体化管理，减少信息割裂，为后续农资追溯、农户服务、供应链金融等延伸应用奠定数据基础，提升整个农资服务体系的现代化水平。从生态效益来看，通过农资仓储信息化建设可以减少农资损耗，降低仓储环节的环境风险，为后续与农资施用环节数据打通（如测土配方、精准施肥）创造条件，从仓储源头支撑绿色农业发展。</w:t>
      </w:r>
    </w:p>
    <w:p w14:paraId="6690D292">
      <w:pPr>
        <w:widowControl/>
        <w:spacing w:line="480" w:lineRule="exact"/>
        <w:ind w:firstLine="422" w:firstLineChars="200"/>
        <w:outlineLvl w:val="0"/>
        <w:rPr>
          <w:b/>
          <w:bCs/>
          <w:szCs w:val="28"/>
        </w:rPr>
      </w:pPr>
      <w:bookmarkStart w:id="70" w:name="_Toc11722"/>
      <w:bookmarkStart w:id="71" w:name="_Toc4252"/>
      <w:bookmarkStart w:id="72" w:name="_Toc5545"/>
      <w:r>
        <w:rPr>
          <w:rFonts w:hint="eastAsia"/>
          <w:b/>
          <w:bCs/>
          <w:szCs w:val="28"/>
        </w:rPr>
        <w:t>四、与国际、国外同类标准技术内容的对比情况</w:t>
      </w:r>
      <w:bookmarkEnd w:id="70"/>
      <w:bookmarkEnd w:id="71"/>
      <w:bookmarkEnd w:id="72"/>
    </w:p>
    <w:p w14:paraId="45F45573">
      <w:pPr>
        <w:numPr>
          <w:ilvl w:val="255"/>
          <w:numId w:val="0"/>
        </w:numPr>
        <w:spacing w:line="480" w:lineRule="exact"/>
        <w:ind w:firstLine="420" w:firstLineChars="200"/>
        <w:rPr>
          <w:rFonts w:cs="仿宋"/>
          <w:szCs w:val="28"/>
        </w:rPr>
      </w:pPr>
      <w:r>
        <w:rPr>
          <w:rFonts w:hint="eastAsia" w:cs="仿宋"/>
          <w:szCs w:val="28"/>
        </w:rPr>
        <w:t>本标准不涉及与国外标准技术内容的对比，也不涉及对现有国际标准和国外先进标准的采用。</w:t>
      </w:r>
    </w:p>
    <w:p w14:paraId="08885D24">
      <w:pPr>
        <w:widowControl/>
        <w:spacing w:line="480" w:lineRule="exact"/>
        <w:ind w:firstLine="422" w:firstLineChars="200"/>
        <w:outlineLvl w:val="0"/>
        <w:rPr>
          <w:b/>
          <w:bCs/>
          <w:szCs w:val="28"/>
        </w:rPr>
      </w:pPr>
      <w:bookmarkStart w:id="73" w:name="_Toc652"/>
      <w:bookmarkStart w:id="74" w:name="_Toc16428"/>
      <w:bookmarkStart w:id="75" w:name="_Toc16364"/>
      <w:r>
        <w:rPr>
          <w:rFonts w:hint="eastAsia"/>
          <w:b/>
          <w:bCs/>
          <w:szCs w:val="28"/>
        </w:rPr>
        <w:t>五、以国际标准为基础的起草情况，以及是否合规引用或者采用国际国外标准，并说明未采用国际标准的原因</w:t>
      </w:r>
      <w:bookmarkEnd w:id="73"/>
      <w:bookmarkEnd w:id="74"/>
    </w:p>
    <w:p w14:paraId="66242D66">
      <w:pPr>
        <w:widowControl/>
        <w:autoSpaceDE w:val="0"/>
        <w:autoSpaceDN w:val="0"/>
        <w:adjustRightInd w:val="0"/>
        <w:spacing w:line="480" w:lineRule="exact"/>
        <w:ind w:firstLine="420" w:firstLineChars="200"/>
        <w:jc w:val="left"/>
        <w:rPr>
          <w:rFonts w:cs="仿宋"/>
          <w:szCs w:val="28"/>
        </w:rPr>
      </w:pPr>
      <w:r>
        <w:rPr>
          <w:rFonts w:hint="eastAsia" w:cs="仿宋"/>
          <w:szCs w:val="28"/>
        </w:rPr>
        <w:t>本标准未以国际标准为基础起草，也未</w:t>
      </w:r>
      <w:r>
        <w:rPr>
          <w:rFonts w:hint="eastAsia"/>
          <w:szCs w:val="28"/>
        </w:rPr>
        <w:t>引用或者采用国际国外标准</w:t>
      </w:r>
      <w:r>
        <w:rPr>
          <w:rFonts w:hint="eastAsia" w:cs="仿宋"/>
          <w:szCs w:val="28"/>
        </w:rPr>
        <w:t>，主要原因是我国具有大国小农突出特色，与西方发达国家国情较为不同。</w:t>
      </w:r>
    </w:p>
    <w:p w14:paraId="51640FAB">
      <w:pPr>
        <w:widowControl/>
        <w:spacing w:line="480" w:lineRule="exact"/>
        <w:ind w:firstLine="422" w:firstLineChars="200"/>
        <w:outlineLvl w:val="0"/>
        <w:rPr>
          <w:b/>
          <w:bCs/>
          <w:szCs w:val="28"/>
        </w:rPr>
      </w:pPr>
      <w:bookmarkStart w:id="76" w:name="_Toc17343"/>
      <w:bookmarkStart w:id="77" w:name="_Toc32375"/>
      <w:r>
        <w:rPr>
          <w:rFonts w:hint="eastAsia"/>
          <w:b/>
          <w:bCs/>
          <w:szCs w:val="28"/>
        </w:rPr>
        <w:t>六、与有关法律、行政法规及相关标准的关系</w:t>
      </w:r>
      <w:bookmarkEnd w:id="75"/>
      <w:bookmarkEnd w:id="76"/>
      <w:bookmarkEnd w:id="77"/>
    </w:p>
    <w:p w14:paraId="2EE2C56D">
      <w:pPr>
        <w:spacing w:line="480" w:lineRule="exact"/>
        <w:ind w:firstLine="420" w:firstLineChars="200"/>
        <w:rPr>
          <w:rFonts w:cs="仿宋"/>
          <w:szCs w:val="28"/>
        </w:rPr>
      </w:pPr>
      <w:r>
        <w:rPr>
          <w:rFonts w:hint="eastAsia" w:cs="仿宋"/>
          <w:szCs w:val="28"/>
        </w:rPr>
        <w:t>本标准的编制符合相关国家法律法规的规定和强制性标准的要求。目前国内尚无智慧农资连锁网点建设与管理规范的行业或国家标准发布实施，因此，本标准在制定过程中，充分参照和引证了国家及有关部门在相关领域已发布的国标、行标及地标。在此基础上，本标准立足于农资仓储信息化建设，对相关标准要求进行了整合与细化，作出了更具针对性和可操作性的规定。</w:t>
      </w:r>
    </w:p>
    <w:bookmarkEnd w:id="62"/>
    <w:bookmarkEnd w:id="63"/>
    <w:bookmarkEnd w:id="64"/>
    <w:bookmarkEnd w:id="65"/>
    <w:bookmarkEnd w:id="66"/>
    <w:bookmarkEnd w:id="67"/>
    <w:bookmarkEnd w:id="68"/>
    <w:p w14:paraId="06253D8A">
      <w:pPr>
        <w:widowControl/>
        <w:spacing w:line="480" w:lineRule="exact"/>
        <w:ind w:firstLine="422" w:firstLineChars="200"/>
        <w:outlineLvl w:val="0"/>
        <w:rPr>
          <w:b/>
          <w:bCs/>
          <w:szCs w:val="28"/>
        </w:rPr>
      </w:pPr>
      <w:bookmarkStart w:id="78" w:name="_Toc6925"/>
      <w:bookmarkStart w:id="79" w:name="_Toc1137"/>
      <w:bookmarkStart w:id="80" w:name="_Toc14115"/>
      <w:bookmarkStart w:id="81" w:name="_Toc18187"/>
      <w:bookmarkStart w:id="82" w:name="_Toc29680"/>
      <w:bookmarkStart w:id="83" w:name="_Toc4635"/>
      <w:bookmarkStart w:id="84" w:name="_Toc20384"/>
      <w:bookmarkStart w:id="85" w:name="_Toc4102"/>
      <w:bookmarkStart w:id="86" w:name="_Toc23407"/>
      <w:bookmarkStart w:id="87" w:name="_Toc25722"/>
      <w:bookmarkStart w:id="88" w:name="_Toc23333"/>
      <w:bookmarkStart w:id="89" w:name="_Toc20883"/>
      <w:bookmarkStart w:id="90" w:name="_Toc30005"/>
      <w:bookmarkStart w:id="91" w:name="_Toc24853"/>
      <w:r>
        <w:rPr>
          <w:rFonts w:hint="eastAsia"/>
          <w:b/>
          <w:bCs/>
          <w:szCs w:val="28"/>
        </w:rPr>
        <w:t>七、重大分歧意见的处理经过和依据</w:t>
      </w:r>
      <w:bookmarkEnd w:id="78"/>
      <w:bookmarkEnd w:id="79"/>
      <w:bookmarkEnd w:id="80"/>
    </w:p>
    <w:bookmarkEnd w:id="81"/>
    <w:bookmarkEnd w:id="82"/>
    <w:bookmarkEnd w:id="83"/>
    <w:bookmarkEnd w:id="84"/>
    <w:bookmarkEnd w:id="85"/>
    <w:bookmarkEnd w:id="86"/>
    <w:bookmarkEnd w:id="87"/>
    <w:p w14:paraId="3F0DFE53">
      <w:pPr>
        <w:pStyle w:val="27"/>
        <w:tabs>
          <w:tab w:val="center" w:pos="4201"/>
          <w:tab w:val="right" w:leader="dot" w:pos="9298"/>
        </w:tabs>
        <w:spacing w:line="480" w:lineRule="exact"/>
        <w:ind w:firstLine="420"/>
        <w:rPr>
          <w:rFonts w:ascii="Times New Roman" w:cs="仿宋"/>
          <w:szCs w:val="28"/>
        </w:rPr>
      </w:pPr>
      <w:r>
        <w:rPr>
          <w:rFonts w:hint="eastAsia" w:ascii="Times New Roman" w:cs="仿宋"/>
          <w:szCs w:val="28"/>
        </w:rPr>
        <w:t>本标准在制定过程中未出现重大分歧意见。</w:t>
      </w:r>
    </w:p>
    <w:p w14:paraId="47A1C876">
      <w:pPr>
        <w:widowControl/>
        <w:spacing w:line="480" w:lineRule="exact"/>
        <w:ind w:firstLine="422" w:firstLineChars="200"/>
        <w:outlineLvl w:val="0"/>
        <w:rPr>
          <w:b/>
          <w:bCs/>
          <w:szCs w:val="28"/>
        </w:rPr>
      </w:pPr>
      <w:bookmarkStart w:id="92" w:name="_Toc22391"/>
      <w:bookmarkStart w:id="93" w:name="_Toc32753"/>
      <w:bookmarkStart w:id="94" w:name="_Toc3148"/>
      <w:bookmarkStart w:id="95" w:name="_Toc1094"/>
      <w:bookmarkStart w:id="96" w:name="_Toc330"/>
      <w:bookmarkStart w:id="97" w:name="_Toc3259"/>
      <w:r>
        <w:rPr>
          <w:rFonts w:hint="eastAsia"/>
          <w:b/>
          <w:bCs/>
          <w:szCs w:val="28"/>
        </w:rPr>
        <w:t>八、涉及专利的有关说明</w:t>
      </w:r>
      <w:bookmarkEnd w:id="92"/>
      <w:bookmarkEnd w:id="93"/>
      <w:bookmarkEnd w:id="94"/>
    </w:p>
    <w:bookmarkEnd w:id="95"/>
    <w:bookmarkEnd w:id="96"/>
    <w:p w14:paraId="40C5627E">
      <w:pPr>
        <w:tabs>
          <w:tab w:val="center" w:pos="4201"/>
          <w:tab w:val="right" w:leader="dot" w:pos="9298"/>
        </w:tabs>
        <w:spacing w:line="480" w:lineRule="exact"/>
        <w:ind w:firstLine="420" w:firstLineChars="200"/>
        <w:outlineLvl w:val="0"/>
        <w:rPr>
          <w:rFonts w:cs="仿宋"/>
          <w:szCs w:val="28"/>
        </w:rPr>
      </w:pPr>
      <w:bookmarkStart w:id="98" w:name="_Toc12530"/>
      <w:bookmarkStart w:id="99" w:name="_Toc25127"/>
      <w:bookmarkStart w:id="100" w:name="_Toc16835"/>
      <w:r>
        <w:rPr>
          <w:rFonts w:hint="eastAsia" w:cs="仿宋"/>
          <w:szCs w:val="28"/>
        </w:rPr>
        <w:t>本标准不涉及专利问题。</w:t>
      </w:r>
      <w:bookmarkEnd w:id="98"/>
      <w:bookmarkEnd w:id="99"/>
      <w:bookmarkEnd w:id="100"/>
    </w:p>
    <w:bookmarkEnd w:id="88"/>
    <w:bookmarkEnd w:id="89"/>
    <w:bookmarkEnd w:id="90"/>
    <w:bookmarkEnd w:id="91"/>
    <w:bookmarkEnd w:id="97"/>
    <w:p w14:paraId="6D955BDA">
      <w:pPr>
        <w:spacing w:line="480" w:lineRule="exact"/>
        <w:ind w:firstLine="422" w:firstLineChars="200"/>
        <w:outlineLvl w:val="0"/>
        <w:rPr>
          <w:b/>
          <w:bCs/>
          <w:szCs w:val="28"/>
        </w:rPr>
      </w:pPr>
      <w:bookmarkStart w:id="101" w:name="_Toc13094"/>
      <w:bookmarkStart w:id="102" w:name="_Toc2646"/>
      <w:bookmarkStart w:id="103" w:name="_Toc30561"/>
      <w:bookmarkStart w:id="104" w:name="_Toc24313"/>
      <w:bookmarkStart w:id="105" w:name="_Toc31155"/>
      <w:bookmarkStart w:id="106" w:name="_Toc7999"/>
      <w:r>
        <w:rPr>
          <w:rFonts w:hint="eastAsia"/>
          <w:b/>
          <w:bCs/>
          <w:szCs w:val="28"/>
        </w:rPr>
        <w:t>九、实施行业标准的要求，以及组织措施、技术措施、过渡期和实施日期的建议等措施建议</w:t>
      </w:r>
      <w:bookmarkEnd w:id="101"/>
      <w:bookmarkEnd w:id="102"/>
      <w:bookmarkEnd w:id="103"/>
      <w:bookmarkEnd w:id="104"/>
      <w:bookmarkEnd w:id="105"/>
      <w:bookmarkEnd w:id="106"/>
    </w:p>
    <w:p w14:paraId="4D8ADA39">
      <w:pPr>
        <w:spacing w:line="480" w:lineRule="exact"/>
        <w:ind w:firstLine="420" w:firstLineChars="200"/>
        <w:rPr>
          <w:rFonts w:cs="仿宋"/>
          <w:szCs w:val="28"/>
        </w:rPr>
      </w:pPr>
      <w:r>
        <w:rPr>
          <w:rFonts w:hint="eastAsia" w:cs="仿宋"/>
          <w:szCs w:val="28"/>
        </w:rPr>
        <w:t>本标准为行业标准，建议作为推荐性标准发布实施。本标准发布后，建议立即实施并做好标准的宣贯与培训工作，及时向农资行业相关企业进行宣传推广，促进标准的落地实施</w:t>
      </w:r>
      <w:r>
        <w:rPr>
          <w:rFonts w:cs="仿宋"/>
          <w:szCs w:val="28"/>
        </w:rPr>
        <w:t>。</w:t>
      </w:r>
    </w:p>
    <w:p w14:paraId="384D80C3">
      <w:pPr>
        <w:spacing w:line="480" w:lineRule="exact"/>
        <w:ind w:firstLine="422" w:firstLineChars="200"/>
        <w:outlineLvl w:val="0"/>
        <w:rPr>
          <w:b/>
          <w:bCs/>
          <w:szCs w:val="28"/>
        </w:rPr>
      </w:pPr>
      <w:bookmarkStart w:id="107" w:name="_Toc9050"/>
      <w:bookmarkStart w:id="108" w:name="_Toc3062"/>
      <w:bookmarkStart w:id="109" w:name="_Toc15310"/>
      <w:bookmarkStart w:id="110" w:name="_Toc1117"/>
      <w:bookmarkStart w:id="111" w:name="_Toc12012"/>
      <w:bookmarkStart w:id="112" w:name="_Toc14520"/>
      <w:bookmarkStart w:id="113" w:name="_Toc20920"/>
      <w:bookmarkStart w:id="114" w:name="_Toc24527"/>
      <w:bookmarkStart w:id="115" w:name="_Toc1533"/>
      <w:bookmarkStart w:id="116" w:name="_Toc13927"/>
      <w:bookmarkStart w:id="117" w:name="_Toc5606"/>
      <w:bookmarkStart w:id="118" w:name="_Toc24899"/>
      <w:r>
        <w:rPr>
          <w:rFonts w:hint="eastAsia"/>
          <w:b/>
          <w:bCs/>
          <w:szCs w:val="28"/>
        </w:rPr>
        <w:t>十、其他应当说明的事项</w:t>
      </w:r>
      <w:bookmarkEnd w:id="107"/>
      <w:bookmarkEnd w:id="108"/>
      <w:bookmarkEnd w:id="109"/>
      <w:bookmarkEnd w:id="110"/>
      <w:bookmarkEnd w:id="111"/>
      <w:bookmarkEnd w:id="112"/>
      <w:bookmarkEnd w:id="113"/>
      <w:bookmarkEnd w:id="114"/>
      <w:bookmarkEnd w:id="115"/>
    </w:p>
    <w:bookmarkEnd w:id="116"/>
    <w:bookmarkEnd w:id="117"/>
    <w:bookmarkEnd w:id="118"/>
    <w:p w14:paraId="2AC84BAD">
      <w:pPr>
        <w:spacing w:line="480" w:lineRule="exact"/>
        <w:ind w:firstLine="420" w:firstLineChars="200"/>
        <w:rPr>
          <w:rFonts w:cs="仿宋"/>
          <w:szCs w:val="28"/>
        </w:rPr>
      </w:pPr>
      <w:r>
        <w:rPr>
          <w:rFonts w:hint="eastAsia" w:cs="仿宋"/>
          <w:szCs w:val="28"/>
        </w:rPr>
        <w:t>无。</w:t>
      </w:r>
    </w:p>
    <w:p w14:paraId="4BC51EAD">
      <w:pPr>
        <w:spacing w:line="480" w:lineRule="exact"/>
        <w:ind w:firstLine="380" w:firstLineChars="200"/>
        <w:jc w:val="left"/>
        <w:rPr>
          <w:rStyle w:val="17"/>
          <w:rFonts w:ascii="Arial" w:hAnsi="Arial" w:cs="Arial"/>
          <w:color w:val="F73131"/>
          <w:sz w:val="19"/>
          <w:szCs w:val="19"/>
          <w:shd w:val="clear" w:color="auto" w:fill="FFFFFF"/>
        </w:rPr>
      </w:pPr>
    </w:p>
    <w:bookmarkEnd w:id="69"/>
    <w:p w14:paraId="325683E0">
      <w:pPr>
        <w:autoSpaceDE w:val="0"/>
        <w:autoSpaceDN w:val="0"/>
        <w:adjustRightInd w:val="0"/>
        <w:spacing w:line="480" w:lineRule="exact"/>
        <w:ind w:firstLine="420" w:firstLineChars="200"/>
        <w:jc w:val="right"/>
        <w:rPr>
          <w:rFonts w:cs="仿宋"/>
          <w:szCs w:val="28"/>
        </w:rPr>
      </w:pPr>
      <w:r>
        <w:rPr>
          <w:rFonts w:hint="eastAsia" w:ascii="仿宋_GB2312" w:eastAsia="仿宋_GB2312"/>
        </w:rPr>
        <w:t xml:space="preserve">                            </w:t>
      </w:r>
      <w:r>
        <w:rPr>
          <w:rFonts w:hint="eastAsia" w:cs="仿宋"/>
          <w:szCs w:val="28"/>
        </w:rPr>
        <w:t>《农资仓储信息化建设规范》</w:t>
      </w:r>
    </w:p>
    <w:p w14:paraId="6726C409">
      <w:pPr>
        <w:autoSpaceDE w:val="0"/>
        <w:autoSpaceDN w:val="0"/>
        <w:adjustRightInd w:val="0"/>
        <w:spacing w:line="480" w:lineRule="exact"/>
        <w:ind w:firstLine="420" w:firstLineChars="200"/>
        <w:jc w:val="right"/>
        <w:rPr>
          <w:rFonts w:cs="仿宋"/>
          <w:szCs w:val="28"/>
        </w:rPr>
      </w:pPr>
      <w:r>
        <w:rPr>
          <w:rFonts w:hint="eastAsia" w:cs="仿宋"/>
          <w:szCs w:val="28"/>
        </w:rPr>
        <w:t>供销合作行业标准编制组</w:t>
      </w:r>
    </w:p>
    <w:p w14:paraId="1B160C41">
      <w:pPr>
        <w:autoSpaceDE w:val="0"/>
        <w:autoSpaceDN w:val="0"/>
        <w:adjustRightInd w:val="0"/>
        <w:spacing w:line="480" w:lineRule="exact"/>
        <w:ind w:firstLine="420" w:firstLineChars="200"/>
        <w:jc w:val="right"/>
        <w:rPr>
          <w:rFonts w:cs="仿宋"/>
          <w:szCs w:val="28"/>
        </w:rPr>
      </w:pPr>
      <w:r>
        <w:rPr>
          <w:rFonts w:hint="eastAsia" w:cs="仿宋"/>
          <w:szCs w:val="28"/>
        </w:rPr>
        <w:t>2026年4月</w:t>
      </w:r>
    </w:p>
    <w:sectPr>
      <w:pgSz w:w="11906" w:h="16838"/>
      <w:pgMar w:top="1134" w:right="1287" w:bottom="1134"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FD81E">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4</w:t>
    </w:r>
    <w:r>
      <w:fldChar w:fldCharType="end"/>
    </w:r>
  </w:p>
  <w:p w14:paraId="4B46EC1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42695">
    <w:pPr>
      <w:pStyle w:val="9"/>
      <w:framePr w:wrap="around" w:vAnchor="text" w:hAnchor="margin" w:xAlign="center" w:y="1"/>
      <w:rPr>
        <w:rStyle w:val="16"/>
      </w:rPr>
    </w:pPr>
    <w:r>
      <w:fldChar w:fldCharType="begin"/>
    </w:r>
    <w:r>
      <w:rPr>
        <w:rStyle w:val="16"/>
      </w:rPr>
      <w:instrText xml:space="preserve">PAGE  </w:instrText>
    </w:r>
    <w:r>
      <w:fldChar w:fldCharType="end"/>
    </w:r>
  </w:p>
  <w:p w14:paraId="151D3980">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418B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D9E0C">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51F73">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8A32">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B8265E"/>
    <w:multiLevelType w:val="multilevel"/>
    <w:tmpl w:val="2DB8265E"/>
    <w:lvl w:ilvl="0" w:tentative="0">
      <w:start w:val="1"/>
      <w:numFmt w:val="decimal"/>
      <w:pStyle w:val="2"/>
      <w:lvlText w:val="%1"/>
      <w:lvlJc w:val="left"/>
      <w:pPr>
        <w:tabs>
          <w:tab w:val="left" w:pos="425"/>
        </w:tabs>
        <w:ind w:left="425" w:hanging="425"/>
      </w:pPr>
      <w:rPr>
        <w:rFonts w:hint="eastAsia" w:ascii="黑体" w:hAnsi="黑体" w:eastAsia="黑体"/>
      </w:rPr>
    </w:lvl>
    <w:lvl w:ilvl="1" w:tentative="0">
      <w:start w:val="1"/>
      <w:numFmt w:val="decimal"/>
      <w:lvlText w:val="%1.%2"/>
      <w:lvlJc w:val="left"/>
      <w:pPr>
        <w:tabs>
          <w:tab w:val="left" w:pos="567"/>
        </w:tabs>
        <w:ind w:left="567" w:hanging="567"/>
      </w:pPr>
      <w:rPr>
        <w:rFonts w:hint="eastAsia" w:ascii="黑体" w:hAnsi="黑体" w:eastAsia="黑体"/>
        <w:sz w:val="24"/>
        <w:szCs w:val="24"/>
      </w:rPr>
    </w:lvl>
    <w:lvl w:ilvl="2" w:tentative="0">
      <w:start w:val="1"/>
      <w:numFmt w:val="decimal"/>
      <w:lvlText w:val="%1.%2.%3"/>
      <w:lvlJc w:val="left"/>
      <w:pPr>
        <w:tabs>
          <w:tab w:val="left" w:pos="709"/>
        </w:tabs>
        <w:ind w:left="709" w:hanging="709"/>
      </w:pPr>
      <w:rPr>
        <w:rFonts w:hint="eastAsia" w:ascii="黑体" w:hAnsi="黑体" w:eastAsia="黑体"/>
      </w:rPr>
    </w:lvl>
    <w:lvl w:ilvl="3" w:tentative="0">
      <w:start w:val="1"/>
      <w:numFmt w:val="decimal"/>
      <w:suff w:val="nothing"/>
      <w:lvlText w:val="（%4）"/>
      <w:lvlJc w:val="left"/>
      <w:pPr>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trackRevisions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YWFlNDlhN2Q2YmU4MzFlYWQ1NzY3NmYxYjU1YjAifQ=="/>
  </w:docVars>
  <w:rsids>
    <w:rsidRoot w:val="00002201"/>
    <w:rsid w:val="00002201"/>
    <w:rsid w:val="00051155"/>
    <w:rsid w:val="000D6033"/>
    <w:rsid w:val="000E589E"/>
    <w:rsid w:val="0011522A"/>
    <w:rsid w:val="00136063"/>
    <w:rsid w:val="00180A99"/>
    <w:rsid w:val="00181BCB"/>
    <w:rsid w:val="00184984"/>
    <w:rsid w:val="0018770E"/>
    <w:rsid w:val="001A7001"/>
    <w:rsid w:val="001D4926"/>
    <w:rsid w:val="002A1C34"/>
    <w:rsid w:val="002F36B0"/>
    <w:rsid w:val="00306A1E"/>
    <w:rsid w:val="003A7FF0"/>
    <w:rsid w:val="00400F2E"/>
    <w:rsid w:val="004406C0"/>
    <w:rsid w:val="0048761F"/>
    <w:rsid w:val="004A5F40"/>
    <w:rsid w:val="005619E3"/>
    <w:rsid w:val="005C4477"/>
    <w:rsid w:val="005E3E94"/>
    <w:rsid w:val="00630C68"/>
    <w:rsid w:val="00671599"/>
    <w:rsid w:val="006E208A"/>
    <w:rsid w:val="006E328F"/>
    <w:rsid w:val="00721294"/>
    <w:rsid w:val="00761B90"/>
    <w:rsid w:val="007D6C36"/>
    <w:rsid w:val="00847434"/>
    <w:rsid w:val="008A5679"/>
    <w:rsid w:val="008D5D92"/>
    <w:rsid w:val="00905F31"/>
    <w:rsid w:val="00923C44"/>
    <w:rsid w:val="00947202"/>
    <w:rsid w:val="00A06DF8"/>
    <w:rsid w:val="00A44760"/>
    <w:rsid w:val="00B267D6"/>
    <w:rsid w:val="00B67603"/>
    <w:rsid w:val="00B7058D"/>
    <w:rsid w:val="00BB109F"/>
    <w:rsid w:val="00BE746C"/>
    <w:rsid w:val="00C9326E"/>
    <w:rsid w:val="00D16B65"/>
    <w:rsid w:val="00D24076"/>
    <w:rsid w:val="00DC2E5C"/>
    <w:rsid w:val="00DC3188"/>
    <w:rsid w:val="00DD6D19"/>
    <w:rsid w:val="00E05816"/>
    <w:rsid w:val="00E73BE4"/>
    <w:rsid w:val="00F72613"/>
    <w:rsid w:val="04D33EA3"/>
    <w:rsid w:val="0722121F"/>
    <w:rsid w:val="07FE0D6D"/>
    <w:rsid w:val="0E975558"/>
    <w:rsid w:val="121641AC"/>
    <w:rsid w:val="1AFD5359"/>
    <w:rsid w:val="1E4E315B"/>
    <w:rsid w:val="237D12F0"/>
    <w:rsid w:val="25215CA5"/>
    <w:rsid w:val="27525CCF"/>
    <w:rsid w:val="29314332"/>
    <w:rsid w:val="29E04FA9"/>
    <w:rsid w:val="2B4955B2"/>
    <w:rsid w:val="2DCD6E25"/>
    <w:rsid w:val="38BD6613"/>
    <w:rsid w:val="38F06BD9"/>
    <w:rsid w:val="3B38791B"/>
    <w:rsid w:val="4E916424"/>
    <w:rsid w:val="51D636B3"/>
    <w:rsid w:val="575925A3"/>
    <w:rsid w:val="5ADB62E4"/>
    <w:rsid w:val="5DF560E9"/>
    <w:rsid w:val="5F8D24F9"/>
    <w:rsid w:val="5FFD0815"/>
    <w:rsid w:val="681E2B78"/>
    <w:rsid w:val="68BB78B7"/>
    <w:rsid w:val="69147CE3"/>
    <w:rsid w:val="6C6A0780"/>
    <w:rsid w:val="6E320CFC"/>
    <w:rsid w:val="6E5042A8"/>
    <w:rsid w:val="6E516E3C"/>
    <w:rsid w:val="6F0F1490"/>
    <w:rsid w:val="7122388E"/>
    <w:rsid w:val="750A6D84"/>
    <w:rsid w:val="76F4797E"/>
    <w:rsid w:val="788A02E9"/>
    <w:rsid w:val="7A701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20"/>
    <w:qFormat/>
    <w:uiPriority w:val="0"/>
    <w:pPr>
      <w:keepLines/>
      <w:numPr>
        <w:ilvl w:val="0"/>
        <w:numId w:val="1"/>
      </w:numPr>
      <w:spacing w:before="60" w:after="60"/>
      <w:outlineLvl w:val="0"/>
    </w:pPr>
    <w:rPr>
      <w:rFonts w:eastAsia="黑体"/>
      <w:bCs/>
      <w:kern w:val="44"/>
      <w:sz w:val="28"/>
      <w:szCs w:val="44"/>
    </w:rPr>
  </w:style>
  <w:style w:type="paragraph" w:styleId="4">
    <w:name w:val="heading 2"/>
    <w:basedOn w:val="1"/>
    <w:next w:val="1"/>
    <w:link w:val="2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2"/>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6">
    <w:name w:val="annotation text"/>
    <w:basedOn w:val="1"/>
    <w:link w:val="23"/>
    <w:qFormat/>
    <w:uiPriority w:val="0"/>
    <w:pPr>
      <w:jc w:val="left"/>
    </w:pPr>
  </w:style>
  <w:style w:type="paragraph" w:styleId="7">
    <w:name w:val="Plain Text"/>
    <w:basedOn w:val="1"/>
    <w:qFormat/>
    <w:uiPriority w:val="0"/>
    <w:rPr>
      <w:rFonts w:ascii="宋体" w:hAnsi="Courier New" w:cs="Courier New"/>
      <w:szCs w:val="21"/>
    </w:r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annotation subject"/>
    <w:basedOn w:val="6"/>
    <w:next w:val="6"/>
    <w:link w:val="25"/>
    <w:qFormat/>
    <w:uiPriority w:val="0"/>
    <w:rPr>
      <w:b/>
      <w:bCs/>
      <w:kern w:val="0"/>
      <w:sz w:val="20"/>
      <w:szCs w:val="20"/>
    </w:rPr>
  </w:style>
  <w:style w:type="character" w:styleId="15">
    <w:name w:val="Strong"/>
    <w:qFormat/>
    <w:uiPriority w:val="0"/>
    <w:rPr>
      <w:b/>
      <w:bCs/>
    </w:rPr>
  </w:style>
  <w:style w:type="character" w:styleId="16">
    <w:name w:val="page number"/>
    <w:qFormat/>
    <w:uiPriority w:val="0"/>
  </w:style>
  <w:style w:type="character" w:styleId="17">
    <w:name w:val="Emphasis"/>
    <w:basedOn w:val="14"/>
    <w:qFormat/>
    <w:uiPriority w:val="0"/>
    <w:rPr>
      <w:i/>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1 字符"/>
    <w:link w:val="2"/>
    <w:qFormat/>
    <w:uiPriority w:val="0"/>
    <w:rPr>
      <w:rFonts w:eastAsia="黑体"/>
      <w:bCs/>
      <w:kern w:val="44"/>
      <w:sz w:val="28"/>
      <w:szCs w:val="44"/>
      <w:lang w:val="en-US" w:eastAsia="zh-CN" w:bidi="ar-SA"/>
    </w:rPr>
  </w:style>
  <w:style w:type="character" w:customStyle="1" w:styleId="21">
    <w:name w:val="标题 2 字符"/>
    <w:link w:val="4"/>
    <w:qFormat/>
    <w:uiPriority w:val="0"/>
    <w:rPr>
      <w:rFonts w:ascii="Arial" w:hAnsi="Arial" w:eastAsia="黑体"/>
      <w:b/>
      <w:bCs/>
      <w:kern w:val="2"/>
      <w:sz w:val="32"/>
      <w:szCs w:val="32"/>
    </w:rPr>
  </w:style>
  <w:style w:type="character" w:customStyle="1" w:styleId="22">
    <w:name w:val="标题 3 字符"/>
    <w:link w:val="5"/>
    <w:qFormat/>
    <w:uiPriority w:val="0"/>
    <w:rPr>
      <w:b/>
      <w:bCs/>
      <w:kern w:val="2"/>
      <w:sz w:val="32"/>
      <w:szCs w:val="32"/>
    </w:rPr>
  </w:style>
  <w:style w:type="character" w:customStyle="1" w:styleId="23">
    <w:name w:val="批注文字 字符"/>
    <w:link w:val="6"/>
    <w:qFormat/>
    <w:uiPriority w:val="0"/>
    <w:rPr>
      <w:kern w:val="2"/>
      <w:sz w:val="21"/>
      <w:szCs w:val="24"/>
    </w:rPr>
  </w:style>
  <w:style w:type="character" w:customStyle="1" w:styleId="24">
    <w:name w:val="页眉 字符"/>
    <w:link w:val="10"/>
    <w:qFormat/>
    <w:uiPriority w:val="0"/>
    <w:rPr>
      <w:kern w:val="2"/>
      <w:sz w:val="18"/>
      <w:szCs w:val="18"/>
    </w:rPr>
  </w:style>
  <w:style w:type="character" w:customStyle="1" w:styleId="25">
    <w:name w:val="批注主题 字符"/>
    <w:link w:val="12"/>
    <w:qFormat/>
    <w:uiPriority w:val="0"/>
    <w:rPr>
      <w:b/>
      <w:bCs/>
    </w:rPr>
  </w:style>
  <w:style w:type="character" w:customStyle="1" w:styleId="26">
    <w:name w:val="段 Char"/>
    <w:link w:val="27"/>
    <w:qFormat/>
    <w:uiPriority w:val="0"/>
    <w:rPr>
      <w:rFonts w:ascii="宋体"/>
      <w:sz w:val="21"/>
      <w:lang w:val="en-US" w:eastAsia="zh-CN" w:bidi="ar-SA"/>
    </w:rPr>
  </w:style>
  <w:style w:type="paragraph" w:customStyle="1" w:styleId="27">
    <w:name w:val="段"/>
    <w:link w:val="2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8">
    <w:name w:val="txtcontent11"/>
    <w:qFormat/>
    <w:uiPriority w:val="0"/>
    <w:rPr>
      <w:rFonts w:hint="default" w:ascii="ˎ̥" w:hAnsi="ˎ̥"/>
      <w:color w:val="000000"/>
      <w:sz w:val="21"/>
      <w:szCs w:val="21"/>
    </w:rPr>
  </w:style>
  <w:style w:type="paragraph" w:styleId="29">
    <w:name w:val="List Paragraph"/>
    <w:basedOn w:val="1"/>
    <w:qFormat/>
    <w:uiPriority w:val="0"/>
    <w:pPr>
      <w:ind w:firstLine="420" w:firstLineChars="200"/>
    </w:pPr>
  </w:style>
  <w:style w:type="paragraph" w:customStyle="1" w:styleId="30">
    <w:name w:val="列表段落1"/>
    <w:basedOn w:val="1"/>
    <w:qFormat/>
    <w:uiPriority w:val="0"/>
    <w:pPr>
      <w:ind w:firstLine="420" w:firstLineChars="200"/>
    </w:pPr>
    <w:rPr>
      <w:rFonts w:ascii="Calibri" w:hAnsi="Calibri"/>
      <w:szCs w:val="22"/>
    </w:rPr>
  </w:style>
  <w:style w:type="paragraph" w:customStyle="1" w:styleId="31">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3">
    <w:name w:val="1 Char"/>
    <w:basedOn w:val="1"/>
    <w:next w:val="1"/>
    <w:qFormat/>
    <w:uiPriority w:val="0"/>
    <w:pPr>
      <w:widowControl/>
      <w:spacing w:before="120" w:after="120"/>
      <w:jc w:val="left"/>
    </w:pPr>
    <w:rPr>
      <w:szCs w:val="20"/>
    </w:rPr>
  </w:style>
  <w:style w:type="paragraph" w:customStyle="1" w:styleId="34">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修订1"/>
    <w:qFormat/>
    <w:uiPriority w:val="99"/>
    <w:rPr>
      <w:rFonts w:ascii="Times New Roman" w:hAnsi="Times New Roman" w:eastAsia="宋体" w:cs="Times New Roman"/>
      <w:kern w:val="2"/>
      <w:sz w:val="21"/>
      <w:szCs w:val="24"/>
      <w:lang w:val="en-US" w:eastAsia="zh-CN" w:bidi="ar-SA"/>
    </w:rPr>
  </w:style>
  <w:style w:type="paragraph" w:customStyle="1" w:styleId="3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3f0c59ee-ef2a-4d53-b77f-cbb3ef890f28</errorID>
      <errorWord>计算机电脑</errorWord>
      <group>L1_Grammar</group>
      <groupName>语法问题</groupName>
      <ability>L2_Grammar</ability>
      <abilityName>语法错误</abilityName>
      <candidateList>
        <item>计算机</item>
      </candidateList>
      <explain/>
      <paraID>6D15ED02</paraID>
      <start>12</start>
      <end>17</end>
      <status>unmodified</status>
      <modifiedWord/>
      <trackRevisions>false</trackRevisions>
    </reviewItem>
    <reviewItem>
      <errorID>f6058b2b-6927-426b-abee-193f46e29081</errorID>
      <errorWord>信息安全</errorWord>
      <group>L1_Punc</group>
      <groupName>标点问题</groupName>
      <ability>L2_Punc</ability>
      <abilityName>标点符号检查</abilityName>
      <candidateList>
        <item>》《信息安全</item>
      </candidateList>
      <explain/>
      <paraID>73008A49</paraID>
      <start>30</start>
      <end>34</end>
      <status>unmodified</status>
      <modifiedWord/>
      <trackRevisions>false</trackRevisions>
    </reviewItem>
    <reviewItem>
      <errorID>29cedaf4-4711-4e7b-b3a3-fabd76e8b03a</errorID>
      <errorWord>管理</errorWord>
      <group>L1_Word</group>
      <groupName>字词问题</groupName>
      <ability>L2_Typo</ability>
      <abilityName>字词错误</abilityName>
      <candidateList>
        <item>信息</item>
      </candidateList>
      <explain/>
      <paraID>6D4B6E59</paraID>
      <start>90</start>
      <end>92</end>
      <status>unmodified</status>
      <modifiedWord/>
      <trackRevisions>false</trackRevisions>
    </reviewItem>
    <reviewItem>
      <errorID>7e2b5c09-b6c4-4fd2-a12c-8f1f7825dbb6</errorID>
      <errorWord>管理等功能点</errorWord>
      <group>L1_Grammar</group>
      <groupName>语法问题</groupName>
      <ability>L2_Grammar</ability>
      <abilityName>语法错误</abilityName>
      <candidateList>
        <item>信息等</item>
      </candidateList>
      <explain/>
      <paraID>6D4B6E59</paraID>
      <start>97</start>
      <end>103</end>
      <status>unmodified</status>
      <modifiedWord/>
      <trackRevisions>false</trackRevisions>
    </reviewItem>
    <reviewItem>
      <errorID>feacf595-6563-4a2d-a365-da08a2fb819b</errorID>
      <errorWord>等业务模块</errorWord>
      <group>L1_Grammar</group>
      <groupName>语法问题</groupName>
      <ability>L2_Grammar</ability>
      <abilityName>语法错误</abilityName>
      <candidateList>
        <item>等</item>
      </candidateList>
      <explain/>
      <paraID>6E1EB5C8</paraID>
      <start>79</start>
      <end>84</end>
      <status>unmodified</status>
      <modifiedWord/>
      <trackRevisions>false</trackRevisions>
    </reviewItem>
    <reviewItem>
      <errorID>4ec859a2-0255-4ac7-8325-a18393b14ca6</errorID>
      <errorWord>提供</errorWord>
      <group>L1_Word</group>
      <groupName>字词问题</groupName>
      <ability>L2_Typo</ability>
      <abilityName>字词错误</abilityName>
      <candidateList>
        <item>等提供</item>
      </candidateList>
      <explain/>
      <paraID>2114B420</paraID>
      <start>79</start>
      <end>81</end>
      <status>unmodified</status>
      <modifiedWord/>
      <trackRevisions>false</trackRevisions>
    </reviewItem>
    <reviewItem>
      <errorID>ec574e76-ed2e-4e5e-b2de-a0df983760f4</errorID>
      <errorWord>包括规定了</errorWord>
      <group>L1_Grammar</group>
      <groupName>语法问题</groupName>
      <ability>L2_Grammar</ability>
      <abilityName>语法错误</abilityName>
      <candidateList>
        <item>包括</item>
      </candidateList>
      <explain/>
      <paraID>18206526</paraID>
      <start>19</start>
      <end>24</end>
      <status>unmodified</status>
      <modifiedWord/>
      <trackRevisions>false</trackRevisions>
    </reviewItem>
    <reviewItem>
      <errorID>f88d202b-1a03-475a-92e2-2023156c0ba7</errorID>
      <errorWord>，</errorWord>
      <group>L1_Punc</group>
      <groupName>标点问题</groupName>
      <ability>L2_Punc</ability>
      <abilityName>标点符号检查</abilityName>
      <candidateList>
        <item>、</item>
      </candidateList>
      <explain/>
      <paraID>10CB193D</paraID>
      <start>34</start>
      <end>35</end>
      <status>unmodified</status>
      <modifiedWord/>
      <trackRevisions>false</trackRevisions>
    </reviewItem>
    <reviewItem>
      <errorID>232fc0b9-4301-4065-bb80-df424fe7056b</errorID>
      <errorWord>涉及进行</errorWord>
      <group>L1_Grammar</group>
      <groupName>语法问题</groupName>
      <ability>L2_Grammar</ability>
      <abilityName>语法错误</abilityName>
      <candidateList>
        <item>涉及</item>
      </candidateList>
      <explain/>
      <paraID>142EC053</paraID>
      <start>4</start>
      <end>8</end>
      <status>unmodified</status>
      <modifiedWord/>
      <trackRevisions>false</trackRevisions>
    </reviewItem>
    <reviewItem>
      <errorID>cacc8228-4cf5-4927-9565-15f8214dfb6d</errorID>
      <errorWord>国际</errorWord>
      <group>L1_Grammar</group>
      <groupName>语法问题</groupName>
      <ability>L2_Grammar</ability>
      <abilityName>语法错误</abilityName>
      <candidateList>
        <item>国际标准或</item>
      </candidateList>
      <explain/>
      <paraID>66242D66</paraID>
      <start>23</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7A417833-ABD6-4C8D-9B62-1AC6B4EB07A3}">
  <ds:schemaRefs/>
</ds:datastoreItem>
</file>

<file path=docProps/app.xml><?xml version="1.0" encoding="utf-8"?>
<Properties xmlns="http://schemas.openxmlformats.org/officeDocument/2006/extended-properties" xmlns:vt="http://schemas.openxmlformats.org/officeDocument/2006/docPropsVTypes">
  <Template>Normal.dotm</Template>
  <Pages>9</Pages>
  <Words>5518</Words>
  <Characters>5685</Characters>
  <Lines>45</Lines>
  <Paragraphs>12</Paragraphs>
  <TotalTime>11</TotalTime>
  <ScaleCrop>false</ScaleCrop>
  <LinksUpToDate>false</LinksUpToDate>
  <CharactersWithSpaces>5752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2023-02-07T16:27:00Z</dcterms:created>
  <dc:creator>71</dc:creator>
  <cp:lastModifiedBy>董振波</cp:lastModifiedBy>
  <cp:lastPrinted>2023-02-23T07:31:00Z</cp:lastPrinted>
  <dcterms:modified xsi:type="dcterms:W3CDTF">2026-04-28T04:22:34Z</dcterms:modified>
  <dc:title>《制表用纯钛板材》</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137105FF61C94AEB8C907D6A81A16E23_13</vt:lpwstr>
  </property>
  <property fmtid="{D5CDD505-2E9C-101B-9397-08002B2CF9AE}" pid="4" name="KSOTemplateDocerSaveRecord">
    <vt:lpwstr>eyJoZGlkIjoiYjY4Yjg0ZWZhODFjY2E5NDM3NjA1YTI5N2ZhNDdjNDciLCJ1c2VySWQiOiIzOTAzMzg5NjEifQ==</vt:lpwstr>
  </property>
</Properties>
</file>